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rPr>
      </w:pPr>
    </w:p>
    <w:p>
      <w:pPr>
        <w:rPr>
          <w:rFonts w:hint="eastAsia" w:eastAsiaTheme="minorEastAsia"/>
        </w:rPr>
      </w:pPr>
    </w:p>
    <w:p>
      <w:pPr>
        <w:rPr>
          <w:rFonts w:hint="eastAsia" w:eastAsiaTheme="minorEastAsia"/>
        </w:rPr>
      </w:pPr>
      <w:r>
        <w:rPr>
          <w:rFonts w:hint="eastAsia" w:eastAsiaTheme="minorEastAsia"/>
        </w:rPr>
        <w:t>主要制定背景</w:t>
      </w:r>
    </w:p>
    <w:p>
      <w:pPr>
        <w:numPr>
          <w:numId w:val="0"/>
        </w:numPr>
        <w:rPr>
          <w:rFonts w:eastAsiaTheme="minorEastAsia"/>
        </w:rPr>
      </w:pPr>
      <w:r>
        <w:rPr>
          <w:rFonts w:hint="eastAsia" w:eastAsiaTheme="minorEastAsia"/>
          <w:lang w:val="en-US" w:eastAsia="zh-CN"/>
        </w:rPr>
        <w:t>1.</w:t>
      </w:r>
      <w:r>
        <w:rPr>
          <w:rFonts w:hint="eastAsia" w:eastAsiaTheme="minorEastAsia"/>
        </w:rPr>
        <w:t>机动车检验制度持续深化改革</w:t>
      </w:r>
      <w:r>
        <w:rPr>
          <w:rFonts w:eastAsiaTheme="minorEastAsia"/>
        </w:rPr>
        <w:t xml:space="preserve"> </w:t>
      </w:r>
    </w:p>
    <w:p>
      <w:pPr>
        <w:numPr>
          <w:numId w:val="0"/>
        </w:numPr>
        <w:rPr>
          <w:rFonts w:eastAsiaTheme="minorEastAsia"/>
          <w:color w:val="FF0000"/>
        </w:rPr>
      </w:pPr>
      <w:r>
        <w:drawing>
          <wp:inline distT="0" distB="0" distL="114300" distR="114300">
            <wp:extent cx="5937885" cy="3354070"/>
            <wp:effectExtent l="0" t="0" r="571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937885" cy="3354070"/>
                    </a:xfrm>
                    <a:prstGeom prst="rect">
                      <a:avLst/>
                    </a:prstGeom>
                    <a:noFill/>
                    <a:ln>
                      <a:noFill/>
                    </a:ln>
                  </pic:spPr>
                </pic:pic>
              </a:graphicData>
            </a:graphic>
          </wp:inline>
        </w:drawing>
      </w:r>
      <w:r>
        <w:rPr>
          <w:rFonts w:eastAsiaTheme="minorEastAsia"/>
          <w:color w:val="FF0000"/>
        </w:rPr>
        <w:t>2017</w:t>
      </w:r>
      <w:r>
        <w:rPr>
          <w:rFonts w:hint="eastAsia" w:eastAsiaTheme="minorEastAsia"/>
          <w:color w:val="FF0000"/>
        </w:rPr>
        <w:t>年、</w:t>
      </w:r>
      <w:r>
        <w:rPr>
          <w:rFonts w:eastAsiaTheme="minorEastAsia"/>
          <w:color w:val="FF0000"/>
        </w:rPr>
        <w:t>2018</w:t>
      </w:r>
      <w:r>
        <w:rPr>
          <w:rFonts w:hint="eastAsia" w:eastAsiaTheme="minorEastAsia"/>
          <w:color w:val="FF0000"/>
        </w:rPr>
        <w:t>年国务院常务会议要求推行</w:t>
      </w:r>
      <w:r>
        <w:rPr>
          <w:rFonts w:hint="cs" w:eastAsiaTheme="minorEastAsia"/>
          <w:color w:val="FF0000"/>
        </w:rPr>
        <w:t>“</w:t>
      </w:r>
      <w:r>
        <w:rPr>
          <w:rFonts w:hint="eastAsia" w:eastAsiaTheme="minorEastAsia"/>
          <w:color w:val="FF0000"/>
        </w:rPr>
        <w:t>两检合一</w:t>
      </w:r>
      <w:r>
        <w:rPr>
          <w:rFonts w:hint="cs" w:eastAsiaTheme="minorEastAsia"/>
          <w:color w:val="FF0000"/>
        </w:rPr>
        <w:t>”</w:t>
      </w:r>
      <w:r>
        <w:rPr>
          <w:rFonts w:hint="eastAsia" w:eastAsiaTheme="minorEastAsia"/>
          <w:color w:val="FF0000"/>
        </w:rPr>
        <w:t>、</w:t>
      </w:r>
      <w:r>
        <w:rPr>
          <w:rFonts w:hint="cs" w:eastAsiaTheme="minorEastAsia"/>
          <w:color w:val="FF0000"/>
        </w:rPr>
        <w:t>“</w:t>
      </w:r>
      <w:r>
        <w:rPr>
          <w:rFonts w:hint="eastAsia" w:eastAsiaTheme="minorEastAsia"/>
          <w:color w:val="FF0000"/>
        </w:rPr>
        <w:t>三检合一</w:t>
      </w:r>
      <w:r>
        <w:rPr>
          <w:rFonts w:hint="cs" w:eastAsiaTheme="minorEastAsia"/>
          <w:color w:val="FF0000"/>
        </w:rPr>
        <w:t>”</w:t>
      </w:r>
    </w:p>
    <w:p>
      <w:pPr>
        <w:rPr>
          <w:rFonts w:hint="eastAsia" w:eastAsiaTheme="minorEastAsia"/>
          <w:color w:val="FF0000"/>
        </w:rPr>
      </w:pPr>
      <w:r>
        <w:rPr>
          <w:rFonts w:eastAsiaTheme="minorEastAsia"/>
          <w:color w:val="FF0000"/>
        </w:rPr>
        <w:t>2017</w:t>
      </w:r>
      <w:r>
        <w:rPr>
          <w:rFonts w:hint="eastAsia" w:eastAsiaTheme="minorEastAsia"/>
          <w:color w:val="FF0000"/>
        </w:rPr>
        <w:t>年</w:t>
      </w:r>
      <w:r>
        <w:rPr>
          <w:rFonts w:eastAsiaTheme="minorEastAsia"/>
          <w:color w:val="FF0000"/>
        </w:rPr>
        <w:t>5</w:t>
      </w:r>
      <w:r>
        <w:rPr>
          <w:rFonts w:hint="eastAsia" w:eastAsiaTheme="minorEastAsia"/>
          <w:color w:val="FF0000"/>
        </w:rPr>
        <w:t>月，国务院常务会议提出货运车辆年检（安全技术检验）和年审（综合性能</w:t>
      </w:r>
      <w:r>
        <w:rPr>
          <w:rFonts w:eastAsiaTheme="minorEastAsia"/>
          <w:color w:val="FF0000"/>
        </w:rPr>
        <w:t xml:space="preserve"> </w:t>
      </w:r>
      <w:r>
        <w:rPr>
          <w:rFonts w:hint="eastAsia" w:eastAsiaTheme="minorEastAsia"/>
          <w:color w:val="FF0000"/>
        </w:rPr>
        <w:t>检测）依法合并，推行</w:t>
      </w:r>
      <w:r>
        <w:rPr>
          <w:rFonts w:hint="cs" w:eastAsiaTheme="minorEastAsia"/>
          <w:color w:val="FF0000"/>
        </w:rPr>
        <w:t>“</w:t>
      </w:r>
      <w:r>
        <w:rPr>
          <w:rFonts w:hint="eastAsia" w:eastAsiaTheme="minorEastAsia"/>
          <w:color w:val="FF0000"/>
        </w:rPr>
        <w:t>两检合一</w:t>
      </w:r>
      <w:r>
        <w:rPr>
          <w:rFonts w:hint="cs" w:eastAsiaTheme="minorEastAsia"/>
          <w:color w:val="FF0000"/>
        </w:rPr>
        <w:t>”</w:t>
      </w:r>
      <w:r>
        <w:rPr>
          <w:rFonts w:hint="eastAsia" w:eastAsiaTheme="minorEastAsia"/>
          <w:color w:val="FF0000"/>
        </w:rPr>
        <w:t>。</w:t>
      </w:r>
    </w:p>
    <w:p>
      <w:pPr>
        <w:rPr>
          <w:rFonts w:eastAsiaTheme="minorEastAsia"/>
          <w:color w:val="FF0000"/>
        </w:rPr>
      </w:pPr>
      <w:r>
        <w:rPr>
          <w:rFonts w:eastAsiaTheme="minorEastAsia"/>
          <w:color w:val="FF0000"/>
        </w:rPr>
        <w:t>2018</w:t>
      </w:r>
      <w:r>
        <w:rPr>
          <w:rFonts w:hint="eastAsia" w:eastAsiaTheme="minorEastAsia"/>
          <w:color w:val="FF0000"/>
        </w:rPr>
        <w:t>年</w:t>
      </w:r>
      <w:r>
        <w:rPr>
          <w:rFonts w:eastAsiaTheme="minorEastAsia"/>
          <w:color w:val="FF0000"/>
        </w:rPr>
        <w:t>5</w:t>
      </w:r>
      <w:r>
        <w:rPr>
          <w:rFonts w:hint="eastAsia" w:eastAsiaTheme="minorEastAsia"/>
          <w:color w:val="FF0000"/>
        </w:rPr>
        <w:t>月，国务院常务会议决定</w:t>
      </w:r>
      <w:r>
        <w:rPr>
          <w:rFonts w:eastAsiaTheme="minorEastAsia"/>
          <w:color w:val="FF0000"/>
        </w:rPr>
        <w:t>2018</w:t>
      </w:r>
      <w:r>
        <w:rPr>
          <w:rFonts w:hint="eastAsia" w:eastAsiaTheme="minorEastAsia"/>
          <w:color w:val="FF0000"/>
        </w:rPr>
        <w:t>年底前实现</w:t>
      </w:r>
      <w:r>
        <w:rPr>
          <w:rFonts w:eastAsiaTheme="minorEastAsia"/>
          <w:color w:val="FF0000"/>
        </w:rPr>
        <w:t xml:space="preserve"> </w:t>
      </w:r>
      <w:r>
        <w:rPr>
          <w:rFonts w:hint="eastAsia" w:eastAsiaTheme="minorEastAsia"/>
          <w:color w:val="FF0000"/>
        </w:rPr>
        <w:t>货车年审、年检和尾气排放检验</w:t>
      </w:r>
      <w:r>
        <w:rPr>
          <w:rFonts w:hint="cs" w:eastAsiaTheme="minorEastAsia"/>
          <w:color w:val="FF0000"/>
        </w:rPr>
        <w:t>“</w:t>
      </w:r>
      <w:r>
        <w:rPr>
          <w:rFonts w:hint="eastAsia" w:eastAsiaTheme="minorEastAsia"/>
          <w:color w:val="FF0000"/>
        </w:rPr>
        <w:t>三检合一</w:t>
      </w:r>
      <w:r>
        <w:rPr>
          <w:rFonts w:hint="cs" w:eastAsiaTheme="minorEastAsia"/>
          <w:color w:val="FF0000"/>
        </w:rPr>
        <w:t>”</w:t>
      </w:r>
      <w:r>
        <w:rPr>
          <w:rFonts w:hint="eastAsia" w:eastAsiaTheme="minorEastAsia"/>
          <w:color w:val="FF0000"/>
        </w:rPr>
        <w:t>。</w:t>
      </w:r>
      <w:r>
        <w:rPr>
          <w:rFonts w:eastAsiaTheme="minorEastAsia"/>
          <w:color w:val="FF0000"/>
        </w:rPr>
        <w:t xml:space="preserve">  </w:t>
      </w:r>
    </w:p>
    <w:p>
      <w:pPr>
        <w:rPr>
          <w:rFonts w:hint="eastAsia" w:eastAsiaTheme="minorEastAsia"/>
          <w:color w:val="FF0000"/>
        </w:rPr>
      </w:pPr>
      <w:r>
        <w:drawing>
          <wp:inline distT="0" distB="0" distL="114300" distR="114300">
            <wp:extent cx="5934710" cy="3310890"/>
            <wp:effectExtent l="0" t="0" r="889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934710" cy="3310890"/>
                    </a:xfrm>
                    <a:prstGeom prst="rect">
                      <a:avLst/>
                    </a:prstGeom>
                    <a:noFill/>
                    <a:ln>
                      <a:noFill/>
                    </a:ln>
                  </pic:spPr>
                </pic:pic>
              </a:graphicData>
            </a:graphic>
          </wp:inline>
        </w:drawing>
      </w:r>
      <w:r>
        <w:rPr>
          <w:rFonts w:eastAsiaTheme="minorEastAsia"/>
          <w:color w:val="FF0000"/>
        </w:rPr>
        <w:t>2019</w:t>
      </w:r>
      <w:r>
        <w:rPr>
          <w:rFonts w:hint="eastAsia" w:eastAsiaTheme="minorEastAsia"/>
          <w:color w:val="FF0000"/>
        </w:rPr>
        <w:t>年</w:t>
      </w:r>
      <w:r>
        <w:rPr>
          <w:rFonts w:eastAsiaTheme="minorEastAsia"/>
          <w:color w:val="FF0000"/>
        </w:rPr>
        <w:t>4</w:t>
      </w:r>
      <w:r>
        <w:rPr>
          <w:rFonts w:hint="eastAsia" w:eastAsiaTheme="minorEastAsia"/>
          <w:color w:val="FF0000"/>
        </w:rPr>
        <w:t>月，国家市场监管总局、国家发展改革委联合发布通知，要求整合修订机动车安</w:t>
      </w:r>
      <w:r>
        <w:rPr>
          <w:rFonts w:eastAsiaTheme="minorEastAsia"/>
          <w:color w:val="FF0000"/>
        </w:rPr>
        <w:t xml:space="preserve"> </w:t>
      </w:r>
      <w:r>
        <w:rPr>
          <w:rFonts w:hint="eastAsia" w:eastAsiaTheme="minorEastAsia"/>
          <w:color w:val="FF0000"/>
        </w:rPr>
        <w:t>全技术检验</w:t>
      </w:r>
      <w:r>
        <w:rPr>
          <w:rFonts w:eastAsiaTheme="minorEastAsia"/>
          <w:color w:val="FF0000"/>
        </w:rPr>
        <w:t xml:space="preserve"> </w:t>
      </w:r>
      <w:r>
        <w:rPr>
          <w:rFonts w:hint="eastAsia" w:eastAsiaTheme="minorEastAsia"/>
          <w:color w:val="FF0000"/>
        </w:rPr>
        <w:t>、综合性能检验和环保检验等现行标准，形成协调一致、适用于包括营运车辆在内</w:t>
      </w:r>
      <w:r>
        <w:rPr>
          <w:rFonts w:eastAsiaTheme="minorEastAsia"/>
          <w:color w:val="FF0000"/>
        </w:rPr>
        <w:t xml:space="preserve"> </w:t>
      </w:r>
      <w:r>
        <w:rPr>
          <w:rFonts w:hint="eastAsia" w:eastAsiaTheme="minorEastAsia"/>
          <w:color w:val="FF0000"/>
        </w:rPr>
        <w:t>的机动车安全检验标准和环保检验标准</w:t>
      </w:r>
      <w:r>
        <w:rPr>
          <w:rFonts w:eastAsiaTheme="minorEastAsia"/>
          <w:color w:val="FF0000"/>
        </w:rPr>
        <w:t xml:space="preserve"> </w:t>
      </w:r>
      <w:r>
        <w:rPr>
          <w:rFonts w:hint="eastAsia" w:eastAsiaTheme="minorEastAsia"/>
          <w:color w:val="FF0000"/>
        </w:rPr>
        <w:t>。新的安全检验标准，以现行《机动车安全技术检验项</w:t>
      </w:r>
      <w:r>
        <w:rPr>
          <w:rFonts w:eastAsiaTheme="minorEastAsia"/>
          <w:color w:val="FF0000"/>
        </w:rPr>
        <w:t xml:space="preserve"> </w:t>
      </w:r>
      <w:r>
        <w:rPr>
          <w:rFonts w:hint="eastAsia" w:eastAsiaTheme="minorEastAsia"/>
          <w:color w:val="FF0000"/>
        </w:rPr>
        <w:t>目和方法》（</w:t>
      </w:r>
      <w:r>
        <w:rPr>
          <w:rFonts w:eastAsiaTheme="minorEastAsia"/>
          <w:color w:val="FF0000"/>
        </w:rPr>
        <w:t>GB 21861</w:t>
      </w:r>
      <w:r>
        <w:rPr>
          <w:rFonts w:hint="eastAsia" w:eastAsiaTheme="minorEastAsia"/>
          <w:color w:val="FF0000"/>
        </w:rPr>
        <w:t>）为基础</w:t>
      </w:r>
      <w:r>
        <w:rPr>
          <w:rFonts w:eastAsiaTheme="minorEastAsia"/>
          <w:color w:val="FF0000"/>
        </w:rPr>
        <w:t xml:space="preserve"> </w:t>
      </w:r>
      <w:r>
        <w:rPr>
          <w:rFonts w:hint="eastAsia" w:eastAsiaTheme="minorEastAsia"/>
          <w:color w:val="FF0000"/>
        </w:rPr>
        <w:t>，</w:t>
      </w:r>
      <w:r>
        <w:rPr>
          <w:rFonts w:eastAsiaTheme="minorEastAsia"/>
          <w:color w:val="FF0000"/>
        </w:rPr>
        <w:t xml:space="preserve"> </w:t>
      </w:r>
      <w:r>
        <w:rPr>
          <w:rFonts w:hint="eastAsia" w:eastAsiaTheme="minorEastAsia"/>
          <w:color w:val="FF0000"/>
        </w:rPr>
        <w:t>整合《道路运输车辆综合性能要求和检验方法》（</w:t>
      </w:r>
      <w:r>
        <w:rPr>
          <w:rFonts w:eastAsiaTheme="minorEastAsia"/>
          <w:color w:val="FF0000"/>
        </w:rPr>
        <w:t xml:space="preserve"> GB 18565 </w:t>
      </w:r>
      <w:r>
        <w:rPr>
          <w:rFonts w:hint="eastAsia" w:eastAsiaTheme="minorEastAsia"/>
          <w:color w:val="FF0000"/>
        </w:rPr>
        <w:t>）中有关安全检验项目</w:t>
      </w:r>
      <w:r>
        <w:rPr>
          <w:rFonts w:eastAsiaTheme="minorEastAsia"/>
          <w:color w:val="FF0000"/>
        </w:rPr>
        <w:t xml:space="preserve"> </w:t>
      </w:r>
      <w:r>
        <w:rPr>
          <w:rFonts w:hint="eastAsia" w:eastAsiaTheme="minorEastAsia"/>
          <w:color w:val="FF0000"/>
        </w:rPr>
        <w:t>，对确需保留的安全检验项目纳入修订整合内容</w:t>
      </w:r>
      <w:r>
        <w:rPr>
          <w:rFonts w:eastAsiaTheme="minorEastAsia"/>
          <w:color w:val="FF0000"/>
        </w:rPr>
        <w:t xml:space="preserve"> </w:t>
      </w:r>
      <w:r>
        <w:rPr>
          <w:rFonts w:hint="eastAsia" w:eastAsiaTheme="minorEastAsia"/>
          <w:color w:val="FF0000"/>
        </w:rPr>
        <w:t>。</w:t>
      </w:r>
    </w:p>
    <w:p>
      <w:pPr>
        <w:rPr>
          <w:rFonts w:hint="eastAsia" w:eastAsiaTheme="minorEastAsia"/>
        </w:rPr>
      </w:pPr>
    </w:p>
    <w:p>
      <w:pPr>
        <w:rPr>
          <w:rFonts w:hint="eastAsia" w:eastAsiaTheme="minorEastAsia"/>
          <w:color w:val="FF0000"/>
          <w:lang w:val="en-US" w:eastAsia="zh-CN"/>
        </w:rPr>
      </w:pPr>
      <w:r>
        <w:drawing>
          <wp:inline distT="0" distB="0" distL="114300" distR="114300">
            <wp:extent cx="5935980" cy="3322320"/>
            <wp:effectExtent l="0" t="0" r="762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935980" cy="3322320"/>
                    </a:xfrm>
                    <a:prstGeom prst="rect">
                      <a:avLst/>
                    </a:prstGeom>
                    <a:noFill/>
                    <a:ln>
                      <a:noFill/>
                    </a:ln>
                  </pic:spPr>
                </pic:pic>
              </a:graphicData>
            </a:graphic>
          </wp:inline>
        </w:drawing>
      </w:r>
      <w:r>
        <w:rPr>
          <w:rFonts w:hint="eastAsia" w:eastAsiaTheme="minorEastAsia"/>
          <w:color w:val="FF0000"/>
        </w:rPr>
        <w:t>《公安交管部门进一步深化</w:t>
      </w:r>
      <w:r>
        <w:rPr>
          <w:rFonts w:hint="cs" w:eastAsiaTheme="minorEastAsia"/>
          <w:color w:val="FF0000"/>
        </w:rPr>
        <w:t>“</w:t>
      </w:r>
      <w:r>
        <w:rPr>
          <w:rFonts w:hint="eastAsia" w:eastAsiaTheme="minorEastAsia"/>
          <w:color w:val="FF0000"/>
        </w:rPr>
        <w:t>放管服</w:t>
      </w:r>
      <w:r>
        <w:rPr>
          <w:rFonts w:hint="cs" w:eastAsiaTheme="minorEastAsia"/>
          <w:color w:val="FF0000"/>
        </w:rPr>
        <w:t>”</w:t>
      </w:r>
      <w:r>
        <w:rPr>
          <w:rFonts w:hint="eastAsia" w:eastAsiaTheme="minorEastAsia"/>
          <w:color w:val="FF0000"/>
        </w:rPr>
        <w:t>改革提升交管服务便利化的措施》</w:t>
      </w:r>
      <w:r>
        <w:rPr>
          <w:rFonts w:eastAsiaTheme="minorEastAsia"/>
          <w:color w:val="FF0000"/>
        </w:rPr>
        <w:t xml:space="preserve"> </w:t>
      </w:r>
      <w:r>
        <w:rPr>
          <w:rFonts w:hint="eastAsia" w:eastAsiaTheme="minorEastAsia"/>
          <w:color w:val="FF0000"/>
        </w:rPr>
        <w:t>公交管</w:t>
      </w:r>
      <w:r>
        <w:rPr>
          <w:rFonts w:eastAsiaTheme="minorEastAsia"/>
          <w:color w:val="FF0000"/>
        </w:rPr>
        <w:t>2018[279]</w:t>
      </w:r>
      <w:r>
        <w:rPr>
          <w:rFonts w:hint="eastAsia" w:eastAsiaTheme="minorEastAsia"/>
          <w:color w:val="FF0000"/>
        </w:rPr>
        <w:t>号</w:t>
      </w:r>
      <w:r>
        <w:rPr>
          <w:rFonts w:hint="eastAsia" w:eastAsiaTheme="minorEastAsia"/>
          <w:color w:val="FF0000"/>
          <w:lang w:val="en-US" w:eastAsia="zh-CN"/>
        </w:rPr>
        <w:t>:</w:t>
      </w:r>
    </w:p>
    <w:p>
      <w:pPr>
        <w:rPr>
          <w:rFonts w:eastAsiaTheme="minorEastAsia"/>
          <w:color w:val="FF0000"/>
        </w:rPr>
      </w:pPr>
      <w:r>
        <w:rPr>
          <w:rFonts w:hint="eastAsia" w:eastAsiaTheme="minorEastAsia"/>
          <w:color w:val="FF0000"/>
        </w:rPr>
        <w:t>推行跨省异地检验。除大型客车、校车、危险货物运输车</w:t>
      </w:r>
      <w:r>
        <w:rPr>
          <w:rFonts w:eastAsiaTheme="minorEastAsia"/>
          <w:color w:val="FF0000"/>
        </w:rPr>
        <w:t xml:space="preserve"> </w:t>
      </w:r>
      <w:r>
        <w:rPr>
          <w:rFonts w:hint="eastAsia" w:eastAsiaTheme="minorEastAsia"/>
          <w:color w:val="FF0000"/>
        </w:rPr>
        <w:t>外，其他汽车实行跨省</w:t>
      </w:r>
      <w:r>
        <w:rPr>
          <w:rFonts w:eastAsiaTheme="minorEastAsia"/>
          <w:color w:val="FF0000"/>
        </w:rPr>
        <w:t>(</w:t>
      </w:r>
      <w:r>
        <w:rPr>
          <w:rFonts w:hint="eastAsia" w:eastAsiaTheme="minorEastAsia"/>
          <w:color w:val="FF0000"/>
        </w:rPr>
        <w:t>区、市</w:t>
      </w:r>
      <w:r>
        <w:rPr>
          <w:rFonts w:eastAsiaTheme="minorEastAsia"/>
          <w:color w:val="FF0000"/>
        </w:rPr>
        <w:t>)</w:t>
      </w:r>
      <w:r>
        <w:rPr>
          <w:rFonts w:hint="eastAsia" w:eastAsiaTheme="minorEastAsia"/>
          <w:color w:val="FF0000"/>
        </w:rPr>
        <w:t>异地检验，实现全国范围</w:t>
      </w:r>
      <w:r>
        <w:rPr>
          <w:rFonts w:hint="cs" w:eastAsiaTheme="minorEastAsia"/>
          <w:color w:val="FF0000"/>
        </w:rPr>
        <w:t>“</w:t>
      </w:r>
      <w:r>
        <w:rPr>
          <w:rFonts w:hint="eastAsia" w:eastAsiaTheme="minorEastAsia"/>
          <w:color w:val="FF0000"/>
        </w:rPr>
        <w:t>通检</w:t>
      </w:r>
      <w:r>
        <w:rPr>
          <w:rFonts w:hint="cs" w:eastAsiaTheme="minorEastAsia"/>
          <w:color w:val="FF0000"/>
        </w:rPr>
        <w:t>”</w:t>
      </w:r>
      <w:r>
        <w:rPr>
          <w:rFonts w:hint="eastAsia" w:eastAsiaTheme="minorEastAsia"/>
          <w:color w:val="FF0000"/>
        </w:rPr>
        <w:t>。对</w:t>
      </w:r>
      <w:r>
        <w:rPr>
          <w:rFonts w:eastAsiaTheme="minorEastAsia"/>
          <w:color w:val="FF0000"/>
        </w:rPr>
        <w:t>6</w:t>
      </w:r>
      <w:r>
        <w:rPr>
          <w:rFonts w:hint="eastAsia" w:eastAsiaTheme="minorEastAsia"/>
          <w:color w:val="FF0000"/>
        </w:rPr>
        <w:t>年内免检车辆，申请人可以跨省异地申领检验标志。</w:t>
      </w:r>
    </w:p>
    <w:p>
      <w:pPr>
        <w:rPr>
          <w:rFonts w:eastAsiaTheme="minorEastAsia"/>
          <w:color w:val="FF0000"/>
        </w:rPr>
      </w:pPr>
      <w:r>
        <w:drawing>
          <wp:inline distT="0" distB="0" distL="114300" distR="114300">
            <wp:extent cx="5935980" cy="3308985"/>
            <wp:effectExtent l="0" t="0" r="762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935980" cy="3308985"/>
                    </a:xfrm>
                    <a:prstGeom prst="rect">
                      <a:avLst/>
                    </a:prstGeom>
                    <a:noFill/>
                    <a:ln>
                      <a:noFill/>
                    </a:ln>
                  </pic:spPr>
                </pic:pic>
              </a:graphicData>
            </a:graphic>
          </wp:inline>
        </w:drawing>
      </w:r>
      <w:r>
        <w:rPr>
          <w:rFonts w:eastAsiaTheme="minorEastAsia"/>
          <w:color w:val="FF0000"/>
        </w:rPr>
        <w:t>2019</w:t>
      </w:r>
      <w:r>
        <w:rPr>
          <w:rFonts w:hint="eastAsia" w:eastAsiaTheme="minorEastAsia"/>
          <w:color w:val="FF0000"/>
        </w:rPr>
        <w:t>年</w:t>
      </w:r>
      <w:r>
        <w:rPr>
          <w:rFonts w:eastAsiaTheme="minorEastAsia"/>
          <w:color w:val="FF0000"/>
        </w:rPr>
        <w:t>4</w:t>
      </w:r>
      <w:r>
        <w:rPr>
          <w:rFonts w:hint="eastAsia" w:eastAsiaTheme="minorEastAsia"/>
          <w:color w:val="FF0000"/>
        </w:rPr>
        <w:t>月</w:t>
      </w:r>
      <w:r>
        <w:rPr>
          <w:rFonts w:eastAsiaTheme="minorEastAsia"/>
          <w:color w:val="FF0000"/>
        </w:rPr>
        <w:t>10</w:t>
      </w:r>
      <w:r>
        <w:rPr>
          <w:rFonts w:hint="eastAsia" w:eastAsiaTheme="minorEastAsia"/>
          <w:color w:val="FF0000"/>
        </w:rPr>
        <w:t>日，公安部推出</w:t>
      </w:r>
      <w:r>
        <w:rPr>
          <w:rFonts w:eastAsiaTheme="minorEastAsia"/>
          <w:color w:val="FF0000"/>
        </w:rPr>
        <w:t>10</w:t>
      </w:r>
      <w:r>
        <w:rPr>
          <w:rFonts w:hint="eastAsia" w:eastAsiaTheme="minorEastAsia"/>
          <w:color w:val="FF0000"/>
        </w:rPr>
        <w:t>项公安交管</w:t>
      </w:r>
      <w:r>
        <w:rPr>
          <w:rFonts w:hint="cs" w:eastAsiaTheme="minorEastAsia"/>
          <w:color w:val="FF0000"/>
        </w:rPr>
        <w:t>“</w:t>
      </w:r>
      <w:r>
        <w:rPr>
          <w:rFonts w:hint="eastAsia" w:eastAsiaTheme="minorEastAsia"/>
          <w:color w:val="FF0000"/>
        </w:rPr>
        <w:t>放管服</w:t>
      </w:r>
      <w:r>
        <w:rPr>
          <w:rFonts w:hint="cs" w:eastAsiaTheme="minorEastAsia"/>
          <w:color w:val="FF0000"/>
        </w:rPr>
        <w:t>”</w:t>
      </w:r>
      <w:r>
        <w:rPr>
          <w:rFonts w:hint="eastAsia" w:eastAsiaTheme="minorEastAsia"/>
          <w:color w:val="FF0000"/>
        </w:rPr>
        <w:t>改革新措施</w:t>
      </w:r>
    </w:p>
    <w:p>
      <w:pPr>
        <w:rPr>
          <w:rFonts w:hint="eastAsia" w:eastAsiaTheme="minorEastAsia"/>
          <w:color w:val="FF0000"/>
        </w:rPr>
      </w:pPr>
      <w:r>
        <w:rPr>
          <w:rFonts w:hint="eastAsia" w:eastAsiaTheme="minorEastAsia"/>
          <w:color w:val="FF0000"/>
        </w:rPr>
        <w:t>为进一步方便摩托车车主的安全技术检验，公安部新发布</w:t>
      </w:r>
      <w:r>
        <w:rPr>
          <w:rFonts w:eastAsiaTheme="minorEastAsia"/>
          <w:color w:val="FF0000"/>
        </w:rPr>
        <w:t xml:space="preserve"> </w:t>
      </w:r>
      <w:r>
        <w:rPr>
          <w:rFonts w:hint="eastAsia" w:eastAsiaTheme="minorEastAsia"/>
          <w:color w:val="FF0000"/>
        </w:rPr>
        <w:t>的</w:t>
      </w:r>
      <w:r>
        <w:rPr>
          <w:rFonts w:eastAsiaTheme="minorEastAsia"/>
          <w:color w:val="FF0000"/>
        </w:rPr>
        <w:t>10</w:t>
      </w:r>
      <w:r>
        <w:rPr>
          <w:rFonts w:hint="eastAsia" w:eastAsiaTheme="minorEastAsia"/>
          <w:color w:val="FF0000"/>
        </w:rPr>
        <w:t>项交管</w:t>
      </w:r>
      <w:r>
        <w:rPr>
          <w:rFonts w:hint="cs" w:eastAsiaTheme="minorEastAsia"/>
          <w:color w:val="FF0000"/>
        </w:rPr>
        <w:t>“</w:t>
      </w:r>
      <w:r>
        <w:rPr>
          <w:rFonts w:hint="eastAsia" w:eastAsiaTheme="minorEastAsia"/>
          <w:color w:val="FF0000"/>
        </w:rPr>
        <w:t>放管服</w:t>
      </w:r>
      <w:r>
        <w:rPr>
          <w:rFonts w:hint="cs" w:eastAsiaTheme="minorEastAsia"/>
          <w:color w:val="FF0000"/>
        </w:rPr>
        <w:t>”</w:t>
      </w:r>
      <w:r>
        <w:rPr>
          <w:rFonts w:hint="eastAsia" w:eastAsiaTheme="minorEastAsia"/>
          <w:color w:val="FF0000"/>
        </w:rPr>
        <w:t>改革新措施，实行摩托车全国通检</w:t>
      </w:r>
      <w:r>
        <w:rPr>
          <w:rFonts w:eastAsiaTheme="minorEastAsia"/>
          <w:color w:val="FF0000"/>
        </w:rPr>
        <w:t xml:space="preserve"> </w:t>
      </w:r>
      <w:r>
        <w:rPr>
          <w:rFonts w:hint="eastAsia" w:eastAsiaTheme="minorEastAsia"/>
          <w:color w:val="FF0000"/>
        </w:rPr>
        <w:t>和</w:t>
      </w:r>
      <w:r>
        <w:rPr>
          <w:rFonts w:eastAsiaTheme="minorEastAsia"/>
          <w:color w:val="FF0000"/>
        </w:rPr>
        <w:t>6</w:t>
      </w:r>
      <w:r>
        <w:rPr>
          <w:rFonts w:hint="eastAsia" w:eastAsiaTheme="minorEastAsia"/>
          <w:color w:val="FF0000"/>
        </w:rPr>
        <w:t>年免检。申请人可以在全国范围内任一地直接检验摩托车，</w:t>
      </w:r>
      <w:r>
        <w:rPr>
          <w:rFonts w:eastAsiaTheme="minorEastAsia"/>
          <w:color w:val="FF0000"/>
        </w:rPr>
        <w:t xml:space="preserve"> </w:t>
      </w:r>
      <w:r>
        <w:rPr>
          <w:rFonts w:hint="eastAsia" w:eastAsiaTheme="minorEastAsia"/>
          <w:color w:val="FF0000"/>
        </w:rPr>
        <w:t>申领检验合格标志，无需办理委托检验手续。注册登记</w:t>
      </w:r>
      <w:r>
        <w:rPr>
          <w:rFonts w:eastAsiaTheme="minorEastAsia"/>
          <w:color w:val="FF0000"/>
        </w:rPr>
        <w:t>6</w:t>
      </w:r>
      <w:r>
        <w:rPr>
          <w:rFonts w:hint="eastAsia" w:eastAsiaTheme="minorEastAsia"/>
          <w:color w:val="FF0000"/>
        </w:rPr>
        <w:t>年以</w:t>
      </w:r>
      <w:r>
        <w:rPr>
          <w:rFonts w:eastAsiaTheme="minorEastAsia"/>
          <w:color w:val="FF0000"/>
        </w:rPr>
        <w:t xml:space="preserve"> </w:t>
      </w:r>
      <w:r>
        <w:rPr>
          <w:rFonts w:hint="eastAsia" w:eastAsiaTheme="minorEastAsia"/>
          <w:color w:val="FF0000"/>
        </w:rPr>
        <w:t>内的摩托车免予到机动车安全技术检验机构检验，机动车所有</w:t>
      </w:r>
      <w:r>
        <w:rPr>
          <w:rFonts w:eastAsiaTheme="minorEastAsia"/>
          <w:color w:val="FF0000"/>
        </w:rPr>
        <w:t xml:space="preserve"> </w:t>
      </w:r>
      <w:r>
        <w:rPr>
          <w:rFonts w:hint="eastAsia" w:eastAsiaTheme="minorEastAsia"/>
          <w:color w:val="FF0000"/>
        </w:rPr>
        <w:t>人可以在检验有效期截止前三个月直接到公安机关交通管理部</w:t>
      </w:r>
      <w:r>
        <w:rPr>
          <w:rFonts w:eastAsiaTheme="minorEastAsia"/>
          <w:color w:val="FF0000"/>
        </w:rPr>
        <w:t xml:space="preserve"> </w:t>
      </w:r>
      <w:r>
        <w:rPr>
          <w:rFonts w:hint="eastAsia" w:eastAsiaTheme="minorEastAsia"/>
          <w:color w:val="FF0000"/>
        </w:rPr>
        <w:t>门申领检验标志。</w:t>
      </w:r>
    </w:p>
    <w:p>
      <w:pPr>
        <w:rPr>
          <w:rFonts w:hint="eastAsia" w:eastAsiaTheme="minorEastAsia"/>
        </w:rPr>
      </w:pPr>
      <w:r>
        <w:drawing>
          <wp:inline distT="0" distB="0" distL="114300" distR="114300">
            <wp:extent cx="5935980" cy="3329305"/>
            <wp:effectExtent l="0" t="0" r="762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935980" cy="3329305"/>
                    </a:xfrm>
                    <a:prstGeom prst="rect">
                      <a:avLst/>
                    </a:prstGeom>
                    <a:noFill/>
                    <a:ln>
                      <a:noFill/>
                    </a:ln>
                  </pic:spPr>
                </pic:pic>
              </a:graphicData>
            </a:graphic>
          </wp:inline>
        </w:drawing>
      </w:r>
    </w:p>
    <w:p>
      <w:pPr>
        <w:rPr>
          <w:rFonts w:hint="eastAsia" w:eastAsiaTheme="minorEastAsia"/>
          <w:color w:val="FF0000"/>
        </w:rPr>
      </w:pPr>
      <w:r>
        <w:rPr>
          <w:rFonts w:eastAsiaTheme="minorEastAsia"/>
          <w:color w:val="FF0000"/>
        </w:rPr>
        <w:t>2020</w:t>
      </w:r>
      <w:r>
        <w:rPr>
          <w:rFonts w:hint="eastAsia" w:eastAsiaTheme="minorEastAsia"/>
          <w:color w:val="FF0000"/>
        </w:rPr>
        <w:t>年</w:t>
      </w:r>
      <w:r>
        <w:rPr>
          <w:rFonts w:eastAsiaTheme="minorEastAsia"/>
          <w:color w:val="FF0000"/>
        </w:rPr>
        <w:t>11</w:t>
      </w:r>
      <w:r>
        <w:rPr>
          <w:rFonts w:hint="eastAsia" w:eastAsiaTheme="minorEastAsia"/>
          <w:color w:val="FF0000"/>
        </w:rPr>
        <w:t>月</w:t>
      </w:r>
      <w:r>
        <w:rPr>
          <w:rFonts w:eastAsiaTheme="minorEastAsia"/>
          <w:color w:val="FF0000"/>
        </w:rPr>
        <w:t>20</w:t>
      </w:r>
      <w:r>
        <w:rPr>
          <w:rFonts w:hint="eastAsia" w:eastAsiaTheme="minorEastAsia"/>
          <w:color w:val="FF0000"/>
        </w:rPr>
        <w:t>日，公安部推行实施的</w:t>
      </w:r>
      <w:r>
        <w:rPr>
          <w:rFonts w:eastAsiaTheme="minorEastAsia"/>
          <w:color w:val="FF0000"/>
        </w:rPr>
        <w:t>12</w:t>
      </w:r>
      <w:r>
        <w:rPr>
          <w:rFonts w:hint="eastAsia" w:eastAsiaTheme="minorEastAsia"/>
          <w:color w:val="FF0000"/>
        </w:rPr>
        <w:t>项公安交管优化营商环境</w:t>
      </w:r>
      <w:r>
        <w:rPr>
          <w:rFonts w:hint="cs" w:eastAsiaTheme="minorEastAsia"/>
          <w:color w:val="FF0000"/>
        </w:rPr>
        <w:t>“</w:t>
      </w:r>
      <w:r>
        <w:rPr>
          <w:rFonts w:hint="eastAsia" w:eastAsiaTheme="minorEastAsia"/>
          <w:color w:val="FF0000"/>
        </w:rPr>
        <w:t>放管服</w:t>
      </w:r>
      <w:r>
        <w:rPr>
          <w:rFonts w:hint="cs" w:eastAsiaTheme="minorEastAsia"/>
          <w:color w:val="FF0000"/>
        </w:rPr>
        <w:t>”</w:t>
      </w:r>
      <w:r>
        <w:rPr>
          <w:rFonts w:hint="eastAsia" w:eastAsiaTheme="minorEastAsia"/>
          <w:color w:val="FF0000"/>
        </w:rPr>
        <w:t>改革新措施。</w:t>
      </w:r>
    </w:p>
    <w:p>
      <w:pPr>
        <w:rPr>
          <w:rFonts w:hint="eastAsia" w:eastAsiaTheme="minorEastAsia"/>
          <w:color w:val="FF0000"/>
        </w:rPr>
      </w:pPr>
      <w:r>
        <w:rPr>
          <w:rFonts w:hint="eastAsia" w:eastAsiaTheme="minorEastAsia"/>
          <w:color w:val="FF0000"/>
        </w:rPr>
        <w:t>扩大机动车免检范围。在实行</w:t>
      </w:r>
      <w:r>
        <w:rPr>
          <w:rFonts w:eastAsiaTheme="minorEastAsia"/>
          <w:color w:val="FF0000"/>
        </w:rPr>
        <w:t>6</w:t>
      </w:r>
      <w:r>
        <w:rPr>
          <w:rFonts w:hint="eastAsia" w:eastAsiaTheme="minorEastAsia"/>
          <w:color w:val="FF0000"/>
        </w:rPr>
        <w:t>年内</w:t>
      </w:r>
      <w:r>
        <w:rPr>
          <w:rFonts w:eastAsiaTheme="minorEastAsia"/>
          <w:color w:val="FF0000"/>
        </w:rPr>
        <w:t>6</w:t>
      </w:r>
      <w:r>
        <w:rPr>
          <w:rFonts w:hint="eastAsia" w:eastAsiaTheme="minorEastAsia"/>
          <w:color w:val="FF0000"/>
        </w:rPr>
        <w:t>座以下非营运小微型客车免检基础上，将</w:t>
      </w:r>
      <w:r>
        <w:rPr>
          <w:rFonts w:eastAsiaTheme="minorEastAsia"/>
          <w:color w:val="FF0000"/>
        </w:rPr>
        <w:t>6</w:t>
      </w:r>
      <w:r>
        <w:rPr>
          <w:rFonts w:hint="eastAsia" w:eastAsiaTheme="minorEastAsia"/>
          <w:color w:val="FF0000"/>
        </w:rPr>
        <w:t>年以内的</w:t>
      </w:r>
      <w:r>
        <w:rPr>
          <w:rFonts w:eastAsiaTheme="minorEastAsia"/>
          <w:color w:val="FF0000"/>
        </w:rPr>
        <w:t xml:space="preserve"> 7</w:t>
      </w:r>
      <w:r>
        <w:rPr>
          <w:rFonts w:hint="eastAsia" w:eastAsiaTheme="minorEastAsia"/>
          <w:color w:val="FF0000"/>
        </w:rPr>
        <w:t>至</w:t>
      </w:r>
      <w:r>
        <w:rPr>
          <w:rFonts w:eastAsiaTheme="minorEastAsia"/>
          <w:color w:val="FF0000"/>
        </w:rPr>
        <w:t>9</w:t>
      </w:r>
      <w:r>
        <w:rPr>
          <w:rFonts w:hint="eastAsia" w:eastAsiaTheme="minorEastAsia"/>
          <w:color w:val="FF0000"/>
        </w:rPr>
        <w:t>座非营运小微型客车（面包车除外）纳入免检范围。对非营运小微型客车（面包车</w:t>
      </w:r>
      <w:r>
        <w:rPr>
          <w:rFonts w:eastAsiaTheme="minorEastAsia"/>
          <w:color w:val="FF0000"/>
        </w:rPr>
        <w:t xml:space="preserve"> </w:t>
      </w:r>
      <w:r>
        <w:rPr>
          <w:rFonts w:hint="eastAsia" w:eastAsiaTheme="minorEastAsia"/>
          <w:color w:val="FF0000"/>
        </w:rPr>
        <w:t>除外）超过</w:t>
      </w:r>
      <w:r>
        <w:rPr>
          <w:rFonts w:eastAsiaTheme="minorEastAsia"/>
          <w:color w:val="FF0000"/>
        </w:rPr>
        <w:t>6</w:t>
      </w:r>
      <w:r>
        <w:rPr>
          <w:rFonts w:hint="eastAsia" w:eastAsiaTheme="minorEastAsia"/>
          <w:color w:val="FF0000"/>
        </w:rPr>
        <w:t>年不满</w:t>
      </w:r>
      <w:r>
        <w:rPr>
          <w:rFonts w:eastAsiaTheme="minorEastAsia"/>
          <w:color w:val="FF0000"/>
        </w:rPr>
        <w:t>10</w:t>
      </w:r>
      <w:r>
        <w:rPr>
          <w:rFonts w:hint="eastAsia" w:eastAsiaTheme="minorEastAsia"/>
          <w:color w:val="FF0000"/>
        </w:rPr>
        <w:t>年的，由每年检验</w:t>
      </w:r>
      <w:r>
        <w:rPr>
          <w:rFonts w:eastAsiaTheme="minorEastAsia"/>
          <w:color w:val="FF0000"/>
        </w:rPr>
        <w:t>1</w:t>
      </w:r>
      <w:r>
        <w:rPr>
          <w:rFonts w:hint="eastAsia" w:eastAsiaTheme="minorEastAsia"/>
          <w:color w:val="FF0000"/>
        </w:rPr>
        <w:t>次调整为每两年检验</w:t>
      </w:r>
      <w:r>
        <w:rPr>
          <w:rFonts w:eastAsiaTheme="minorEastAsia"/>
          <w:color w:val="FF0000"/>
        </w:rPr>
        <w:t>1</w:t>
      </w:r>
      <w:r>
        <w:rPr>
          <w:rFonts w:hint="eastAsia" w:eastAsiaTheme="minorEastAsia"/>
          <w:color w:val="FF0000"/>
        </w:rPr>
        <w:t>次。车辆发生伤亡交通事故或者非法改装被依法处罚的，仍按原规定周期检验，保障车辆安全性能。</w:t>
      </w:r>
    </w:p>
    <w:p>
      <w:pPr>
        <w:rPr>
          <w:rFonts w:hint="eastAsia" w:eastAsiaTheme="minorEastAsia"/>
        </w:rPr>
      </w:pPr>
    </w:p>
    <w:p>
      <w:pPr>
        <w:rPr>
          <w:rFonts w:hint="default" w:eastAsiaTheme="minorEastAsia"/>
          <w:b/>
          <w:bCs/>
          <w:lang w:val="en-US" w:eastAsia="zh-CN"/>
        </w:rPr>
      </w:pPr>
      <w:r>
        <w:rPr>
          <w:rFonts w:eastAsiaTheme="minorEastAsia"/>
          <w:b/>
          <w:bCs/>
        </w:rPr>
        <w:t>2. GB 7258</w:t>
      </w:r>
      <w:r>
        <w:rPr>
          <w:rFonts w:hint="eastAsia" w:eastAsiaTheme="minorEastAsia"/>
          <w:b/>
          <w:bCs/>
        </w:rPr>
        <w:t>等机动车安全技术新标准</w:t>
      </w:r>
    </w:p>
    <w:p>
      <w:pPr>
        <w:rPr>
          <w:rFonts w:hint="eastAsia" w:eastAsiaTheme="minorEastAsia"/>
        </w:rPr>
      </w:pPr>
      <w:r>
        <w:rPr>
          <w:rFonts w:eastAsiaTheme="minorEastAsia"/>
        </w:rPr>
        <w:t>GB 7258-2017</w:t>
      </w:r>
      <w:r>
        <w:rPr>
          <w:rFonts w:hint="eastAsia" w:eastAsiaTheme="minorEastAsia"/>
        </w:rPr>
        <w:t>《机动车运行安全技术条件》于</w:t>
      </w:r>
      <w:r>
        <w:rPr>
          <w:rFonts w:eastAsiaTheme="minorEastAsia"/>
        </w:rPr>
        <w:t>2018</w:t>
      </w:r>
      <w:r>
        <w:rPr>
          <w:rFonts w:hint="eastAsia" w:eastAsiaTheme="minorEastAsia"/>
        </w:rPr>
        <w:t>年</w:t>
      </w:r>
      <w:r>
        <w:rPr>
          <w:rFonts w:eastAsiaTheme="minorEastAsia"/>
        </w:rPr>
        <w:t>1</w:t>
      </w:r>
      <w:r>
        <w:rPr>
          <w:rFonts w:hint="eastAsia" w:eastAsiaTheme="minorEastAsia"/>
        </w:rPr>
        <w:t>月</w:t>
      </w:r>
      <w:r>
        <w:rPr>
          <w:rFonts w:eastAsiaTheme="minorEastAsia"/>
        </w:rPr>
        <w:t>1</w:t>
      </w:r>
      <w:r>
        <w:rPr>
          <w:rFonts w:hint="eastAsia" w:eastAsiaTheme="minorEastAsia"/>
        </w:rPr>
        <w:t>日起实施。</w:t>
      </w:r>
    </w:p>
    <w:p>
      <w:pPr>
        <w:rPr>
          <w:rFonts w:hint="eastAsia" w:eastAsiaTheme="minorEastAsia"/>
        </w:rPr>
      </w:pPr>
    </w:p>
    <w:p>
      <w:pPr>
        <w:rPr>
          <w:rFonts w:hint="eastAsia" w:eastAsiaTheme="minorEastAsia"/>
        </w:rPr>
      </w:pPr>
    </w:p>
    <w:p>
      <w:pPr>
        <w:rPr>
          <w:rFonts w:hint="eastAsia" w:eastAsiaTheme="minorEastAsia"/>
        </w:rPr>
      </w:pPr>
      <w:r>
        <w:rPr>
          <w:rFonts w:hint="eastAsia" w:eastAsiaTheme="minorEastAsia"/>
        </w:rPr>
        <w:t>因此，及时配套、更新、完善检验项目和检验要求，有必要修</w:t>
      </w:r>
      <w:r>
        <w:rPr>
          <w:rFonts w:eastAsiaTheme="minorEastAsia"/>
        </w:rPr>
        <w:t xml:space="preserve"> </w:t>
      </w:r>
      <w:r>
        <w:rPr>
          <w:rFonts w:hint="eastAsia" w:eastAsiaTheme="minorEastAsia"/>
        </w:rPr>
        <w:t>订机动车检验标准，切实保障车辆运行安全性能。</w:t>
      </w:r>
    </w:p>
    <w:p>
      <w:pPr>
        <w:rPr>
          <w:rFonts w:hint="eastAsia" w:eastAsiaTheme="minorEastAsia"/>
        </w:rPr>
      </w:pPr>
    </w:p>
    <w:p>
      <w:pPr>
        <w:rPr>
          <w:rFonts w:hint="eastAsia" w:eastAsiaTheme="minorEastAsia"/>
        </w:rPr>
      </w:pPr>
    </w:p>
    <w:p>
      <w:pPr>
        <w:rPr>
          <w:rFonts w:hint="eastAsia" w:eastAsiaTheme="minorEastAsia"/>
        </w:rPr>
      </w:pPr>
    </w:p>
    <w:p>
      <w:pPr>
        <w:rPr>
          <w:rFonts w:hint="eastAsia" w:eastAsiaTheme="minorEastAsia"/>
          <w:b/>
          <w:bCs/>
        </w:rPr>
      </w:pPr>
      <w:r>
        <w:rPr>
          <w:rFonts w:eastAsiaTheme="minorEastAsia"/>
          <w:b/>
          <w:bCs/>
        </w:rPr>
        <w:t xml:space="preserve">2.1 </w:t>
      </w:r>
      <w:r>
        <w:rPr>
          <w:rFonts w:hint="eastAsia" w:eastAsiaTheme="minorEastAsia"/>
          <w:b/>
          <w:bCs/>
        </w:rPr>
        <w:t>检验项目调整</w:t>
      </w:r>
    </w:p>
    <w:p>
      <w:pPr>
        <w:rPr>
          <w:rFonts w:hint="eastAsia" w:eastAsiaTheme="minorEastAsia"/>
          <w:b/>
          <w:bCs/>
        </w:rPr>
      </w:pPr>
      <w:r>
        <w:drawing>
          <wp:inline distT="0" distB="0" distL="114300" distR="114300">
            <wp:extent cx="5939155" cy="2556510"/>
            <wp:effectExtent l="0" t="0" r="444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39155" cy="2556510"/>
                    </a:xfrm>
                    <a:prstGeom prst="rect">
                      <a:avLst/>
                    </a:prstGeom>
                    <a:noFill/>
                    <a:ln>
                      <a:noFill/>
                    </a:ln>
                  </pic:spPr>
                </pic:pic>
              </a:graphicData>
            </a:graphic>
          </wp:inline>
        </w:drawing>
      </w:r>
    </w:p>
    <w:p>
      <w:pPr>
        <w:rPr>
          <w:rFonts w:hint="eastAsia" w:eastAsiaTheme="minorEastAsia"/>
          <w:color w:val="FF0000"/>
        </w:rPr>
      </w:pPr>
      <w:r>
        <w:rPr>
          <w:rFonts w:eastAsiaTheme="minorEastAsia"/>
          <w:color w:val="FF0000"/>
        </w:rPr>
        <w:t>1.</w:t>
      </w:r>
      <w:r>
        <w:rPr>
          <w:rFonts w:hint="eastAsia" w:eastAsiaTheme="minorEastAsia"/>
          <w:color w:val="FF0000"/>
        </w:rPr>
        <w:t>将</w:t>
      </w:r>
      <w:r>
        <w:rPr>
          <w:rFonts w:hint="cs" w:eastAsiaTheme="minorEastAsia"/>
          <w:color w:val="FF0000"/>
        </w:rPr>
        <w:t>“</w:t>
      </w:r>
      <w:r>
        <w:rPr>
          <w:rFonts w:hint="eastAsia" w:eastAsiaTheme="minorEastAsia"/>
          <w:color w:val="FF0000"/>
        </w:rPr>
        <w:t>机动车安全检验项目表</w:t>
      </w:r>
      <w:r>
        <w:rPr>
          <w:rFonts w:hint="cs" w:eastAsiaTheme="minorEastAsia"/>
          <w:color w:val="FF0000"/>
        </w:rPr>
        <w:t>”</w:t>
      </w:r>
      <w:r>
        <w:rPr>
          <w:rFonts w:hint="eastAsia" w:eastAsiaTheme="minorEastAsia"/>
          <w:color w:val="FF0000"/>
        </w:rPr>
        <w:t>细化拆分成</w:t>
      </w:r>
      <w:r>
        <w:rPr>
          <w:rFonts w:hint="cs" w:eastAsiaTheme="minorEastAsia"/>
          <w:color w:val="FF0000"/>
        </w:rPr>
        <w:t>“</w:t>
      </w:r>
      <w:r>
        <w:rPr>
          <w:rFonts w:hint="eastAsia" w:eastAsiaTheme="minorEastAsia"/>
          <w:color w:val="FF0000"/>
        </w:rPr>
        <w:t>注册登记安检验项目表</w:t>
      </w:r>
      <w:r>
        <w:rPr>
          <w:rFonts w:hint="cs" w:eastAsiaTheme="minorEastAsia"/>
          <w:color w:val="FF0000"/>
        </w:rPr>
        <w:t>”</w:t>
      </w:r>
      <w:r>
        <w:rPr>
          <w:rFonts w:hint="eastAsia" w:eastAsiaTheme="minorEastAsia"/>
          <w:color w:val="FF0000"/>
        </w:rPr>
        <w:t>和</w:t>
      </w:r>
      <w:r>
        <w:rPr>
          <w:rFonts w:hint="cs" w:eastAsiaTheme="minorEastAsia"/>
          <w:color w:val="FF0000"/>
        </w:rPr>
        <w:t>“</w:t>
      </w:r>
      <w:r>
        <w:rPr>
          <w:rFonts w:hint="eastAsia" w:eastAsiaTheme="minorEastAsia"/>
          <w:color w:val="FF0000"/>
        </w:rPr>
        <w:t>在用机动车安</w:t>
      </w:r>
      <w:r>
        <w:rPr>
          <w:rFonts w:eastAsiaTheme="minorEastAsia"/>
          <w:color w:val="FF0000"/>
        </w:rPr>
        <w:t xml:space="preserve"> </w:t>
      </w:r>
      <w:r>
        <w:rPr>
          <w:rFonts w:hint="eastAsia" w:eastAsiaTheme="minorEastAsia"/>
          <w:color w:val="FF0000"/>
        </w:rPr>
        <w:t>全检验项目表</w:t>
      </w:r>
      <w:r>
        <w:rPr>
          <w:rFonts w:hint="cs" w:eastAsiaTheme="minorEastAsia"/>
          <w:color w:val="FF0000"/>
        </w:rPr>
        <w:t>”</w:t>
      </w:r>
      <w:r>
        <w:rPr>
          <w:rFonts w:eastAsiaTheme="minorEastAsia"/>
          <w:color w:val="FF0000"/>
        </w:rPr>
        <w:t>2</w:t>
      </w:r>
      <w:r>
        <w:rPr>
          <w:rFonts w:hint="eastAsia" w:eastAsiaTheme="minorEastAsia"/>
          <w:color w:val="FF0000"/>
        </w:rPr>
        <w:t>张表。</w:t>
      </w:r>
      <w:r>
        <w:rPr>
          <w:rFonts w:eastAsiaTheme="minorEastAsia"/>
          <w:color w:val="FF0000"/>
        </w:rPr>
        <w:t xml:space="preserve"> </w:t>
      </w:r>
    </w:p>
    <w:p>
      <w:pPr>
        <w:rPr>
          <w:rFonts w:hint="eastAsia" w:eastAsiaTheme="minorEastAsia"/>
          <w:color w:val="FF0000"/>
        </w:rPr>
      </w:pPr>
      <w:r>
        <w:rPr>
          <w:rFonts w:eastAsiaTheme="minorEastAsia"/>
          <w:color w:val="FF0000"/>
        </w:rPr>
        <w:t>2.</w:t>
      </w:r>
      <w:r>
        <w:rPr>
          <w:rFonts w:hint="eastAsia" w:eastAsiaTheme="minorEastAsia"/>
          <w:color w:val="FF0000"/>
        </w:rPr>
        <w:t>根据</w:t>
      </w:r>
      <w:r>
        <w:rPr>
          <w:rFonts w:eastAsiaTheme="minorEastAsia"/>
          <w:color w:val="FF0000"/>
        </w:rPr>
        <w:t>GB7258-2017</w:t>
      </w:r>
      <w:r>
        <w:rPr>
          <w:rFonts w:hint="eastAsia" w:eastAsiaTheme="minorEastAsia"/>
          <w:color w:val="FF0000"/>
        </w:rPr>
        <w:t>增加</w:t>
      </w:r>
      <w:r>
        <w:rPr>
          <w:rFonts w:hint="cs" w:eastAsiaTheme="minorEastAsia"/>
          <w:color w:val="FF0000"/>
        </w:rPr>
        <w:t>“</w:t>
      </w:r>
      <w:r>
        <w:rPr>
          <w:rFonts w:hint="eastAsia" w:eastAsiaTheme="minorEastAsia"/>
          <w:color w:val="FF0000"/>
        </w:rPr>
        <w:t>制动间隙自动调整装置</w:t>
      </w:r>
      <w:r>
        <w:rPr>
          <w:rFonts w:hint="cs" w:eastAsiaTheme="minorEastAsia"/>
          <w:color w:val="FF0000"/>
        </w:rPr>
        <w:t>”</w:t>
      </w:r>
      <w:r>
        <w:rPr>
          <w:rFonts w:hint="eastAsia" w:eastAsiaTheme="minorEastAsia"/>
          <w:color w:val="FF0000"/>
        </w:rPr>
        <w:t>、</w:t>
      </w:r>
      <w:r>
        <w:rPr>
          <w:rFonts w:hint="cs" w:eastAsiaTheme="minorEastAsia"/>
          <w:color w:val="FF0000"/>
        </w:rPr>
        <w:t>“</w:t>
      </w:r>
      <w:r>
        <w:rPr>
          <w:rFonts w:hint="eastAsia" w:eastAsiaTheme="minorEastAsia"/>
          <w:color w:val="FF0000"/>
        </w:rPr>
        <w:t>驾驶区隔离设施</w:t>
      </w:r>
      <w:r>
        <w:rPr>
          <w:rFonts w:hint="cs" w:eastAsiaTheme="minorEastAsia"/>
          <w:color w:val="FF0000"/>
        </w:rPr>
        <w:t>”</w:t>
      </w:r>
      <w:r>
        <w:rPr>
          <w:rFonts w:hint="eastAsia" w:eastAsiaTheme="minorEastAsia"/>
          <w:color w:val="FF0000"/>
        </w:rPr>
        <w:t>、</w:t>
      </w:r>
      <w:r>
        <w:rPr>
          <w:rFonts w:hint="cs" w:eastAsiaTheme="minorEastAsia"/>
          <w:color w:val="FF0000"/>
        </w:rPr>
        <w:t>“</w:t>
      </w:r>
      <w:r>
        <w:rPr>
          <w:rFonts w:hint="eastAsia" w:eastAsiaTheme="minorEastAsia"/>
          <w:color w:val="FF0000"/>
        </w:rPr>
        <w:t>汽车乘</w:t>
      </w:r>
      <w:r>
        <w:rPr>
          <w:rFonts w:eastAsiaTheme="minorEastAsia"/>
          <w:color w:val="FF0000"/>
        </w:rPr>
        <w:t xml:space="preserve"> </w:t>
      </w:r>
      <w:r>
        <w:rPr>
          <w:rFonts w:hint="eastAsia" w:eastAsiaTheme="minorEastAsia"/>
          <w:color w:val="FF0000"/>
        </w:rPr>
        <w:t>员反光背心</w:t>
      </w:r>
      <w:r>
        <w:rPr>
          <w:rFonts w:hint="cs" w:eastAsiaTheme="minorEastAsia"/>
          <w:color w:val="FF0000"/>
        </w:rPr>
        <w:t>”</w:t>
      </w:r>
      <w:r>
        <w:rPr>
          <w:rFonts w:hint="eastAsia" w:eastAsiaTheme="minorEastAsia"/>
          <w:color w:val="FF0000"/>
        </w:rPr>
        <w:t>、</w:t>
      </w:r>
      <w:r>
        <w:rPr>
          <w:rFonts w:hint="cs" w:eastAsiaTheme="minorEastAsia"/>
          <w:color w:val="FF0000"/>
        </w:rPr>
        <w:t>“</w:t>
      </w:r>
      <w:r>
        <w:rPr>
          <w:rFonts w:hint="eastAsia" w:eastAsiaTheme="minorEastAsia"/>
          <w:color w:val="FF0000"/>
        </w:rPr>
        <w:t>前下部防护</w:t>
      </w:r>
      <w:r>
        <w:rPr>
          <w:rFonts w:hint="cs" w:eastAsiaTheme="minorEastAsia"/>
          <w:color w:val="FF0000"/>
        </w:rPr>
        <w:t>”</w:t>
      </w:r>
      <w:r>
        <w:rPr>
          <w:rFonts w:hint="eastAsia" w:eastAsiaTheme="minorEastAsia"/>
          <w:color w:val="FF0000"/>
        </w:rPr>
        <w:t>等检验项目。</w:t>
      </w:r>
      <w:r>
        <w:rPr>
          <w:rFonts w:eastAsiaTheme="minorEastAsia"/>
          <w:color w:val="FF0000"/>
        </w:rPr>
        <w:t xml:space="preserve"> </w:t>
      </w:r>
    </w:p>
    <w:p>
      <w:pPr>
        <w:rPr>
          <w:rFonts w:hint="eastAsia" w:eastAsiaTheme="minorEastAsia"/>
          <w:color w:val="FF0000"/>
        </w:rPr>
      </w:pPr>
      <w:r>
        <w:rPr>
          <w:rFonts w:eastAsiaTheme="minorEastAsia"/>
          <w:color w:val="FF0000"/>
        </w:rPr>
        <w:t>3.</w:t>
      </w:r>
      <w:r>
        <w:rPr>
          <w:rFonts w:hint="eastAsia" w:eastAsiaTheme="minorEastAsia"/>
          <w:color w:val="FF0000"/>
        </w:rPr>
        <w:t>取消</w:t>
      </w:r>
      <w:r>
        <w:rPr>
          <w:rFonts w:hint="cs" w:eastAsiaTheme="minorEastAsia"/>
          <w:color w:val="FF0000"/>
        </w:rPr>
        <w:t>“</w:t>
      </w:r>
      <w:r>
        <w:rPr>
          <w:rFonts w:hint="eastAsia" w:eastAsiaTheme="minorEastAsia"/>
          <w:color w:val="FF0000"/>
        </w:rPr>
        <w:t>动力性</w:t>
      </w:r>
      <w:r>
        <w:rPr>
          <w:rFonts w:hint="cs" w:eastAsiaTheme="minorEastAsia"/>
          <w:color w:val="FF0000"/>
        </w:rPr>
        <w:t>”</w:t>
      </w:r>
      <w:r>
        <w:rPr>
          <w:rFonts w:hint="eastAsia" w:eastAsiaTheme="minorEastAsia"/>
          <w:color w:val="FF0000"/>
        </w:rPr>
        <w:t>、</w:t>
      </w:r>
      <w:r>
        <w:rPr>
          <w:rFonts w:hint="cs" w:eastAsiaTheme="minorEastAsia"/>
          <w:color w:val="FF0000"/>
        </w:rPr>
        <w:t>“</w:t>
      </w:r>
      <w:r>
        <w:rPr>
          <w:rFonts w:hint="eastAsia" w:eastAsiaTheme="minorEastAsia"/>
          <w:color w:val="FF0000"/>
        </w:rPr>
        <w:t>燃油经济性</w:t>
      </w:r>
      <w:r>
        <w:rPr>
          <w:rFonts w:hint="cs" w:eastAsiaTheme="minorEastAsia"/>
          <w:color w:val="FF0000"/>
        </w:rPr>
        <w:t>”</w:t>
      </w:r>
      <w:r>
        <w:rPr>
          <w:rFonts w:hint="eastAsia" w:eastAsiaTheme="minorEastAsia"/>
          <w:color w:val="FF0000"/>
        </w:rPr>
        <w:t>、</w:t>
      </w:r>
      <w:r>
        <w:rPr>
          <w:rFonts w:hint="cs" w:eastAsiaTheme="minorEastAsia"/>
          <w:color w:val="FF0000"/>
        </w:rPr>
        <w:t>“</w:t>
      </w:r>
      <w:r>
        <w:rPr>
          <w:rFonts w:hint="eastAsia" w:eastAsiaTheme="minorEastAsia"/>
          <w:color w:val="FF0000"/>
        </w:rPr>
        <w:t>挂车驻车制动</w:t>
      </w:r>
      <w:r>
        <w:rPr>
          <w:rFonts w:hint="cs" w:eastAsiaTheme="minorEastAsia"/>
          <w:color w:val="FF0000"/>
        </w:rPr>
        <w:t>”</w:t>
      </w:r>
      <w:r>
        <w:rPr>
          <w:rFonts w:hint="eastAsia" w:eastAsiaTheme="minorEastAsia"/>
          <w:color w:val="FF0000"/>
        </w:rPr>
        <w:t>、</w:t>
      </w:r>
      <w:r>
        <w:rPr>
          <w:rFonts w:hint="cs" w:eastAsiaTheme="minorEastAsia"/>
          <w:color w:val="FF0000"/>
        </w:rPr>
        <w:t>“</w:t>
      </w:r>
      <w:r>
        <w:rPr>
          <w:rFonts w:hint="eastAsia" w:eastAsiaTheme="minorEastAsia"/>
          <w:color w:val="FF0000"/>
        </w:rPr>
        <w:t>前照灯远</w:t>
      </w:r>
      <w:r>
        <w:rPr>
          <w:rFonts w:eastAsiaTheme="minorEastAsia"/>
          <w:color w:val="FF0000"/>
        </w:rPr>
        <w:t>/</w:t>
      </w:r>
      <w:r>
        <w:rPr>
          <w:rFonts w:hint="eastAsia" w:eastAsiaTheme="minorEastAsia"/>
          <w:color w:val="FF0000"/>
        </w:rPr>
        <w:t>近光垂直偏移</w:t>
      </w:r>
      <w:r>
        <w:rPr>
          <w:rFonts w:hint="cs" w:eastAsiaTheme="minorEastAsia"/>
          <w:color w:val="FF0000"/>
        </w:rPr>
        <w:t>”</w:t>
      </w:r>
      <w:r>
        <w:rPr>
          <w:rFonts w:hint="eastAsia" w:eastAsiaTheme="minorEastAsia"/>
          <w:color w:val="FF0000"/>
        </w:rPr>
        <w:t>、</w:t>
      </w:r>
      <w:r>
        <w:rPr>
          <w:rFonts w:eastAsiaTheme="minorEastAsia"/>
          <w:color w:val="FF0000"/>
        </w:rPr>
        <w:t xml:space="preserve"> “</w:t>
      </w:r>
      <w:r>
        <w:rPr>
          <w:rFonts w:hint="eastAsia" w:eastAsiaTheme="minorEastAsia"/>
          <w:color w:val="FF0000"/>
        </w:rPr>
        <w:t>车速表示值误差</w:t>
      </w:r>
      <w:r>
        <w:rPr>
          <w:rFonts w:hint="cs" w:eastAsiaTheme="minorEastAsia"/>
          <w:color w:val="FF0000"/>
        </w:rPr>
        <w:t>”</w:t>
      </w:r>
      <w:r>
        <w:rPr>
          <w:rFonts w:hint="eastAsia" w:eastAsiaTheme="minorEastAsia"/>
          <w:color w:val="FF0000"/>
        </w:rPr>
        <w:t>、</w:t>
      </w:r>
      <w:r>
        <w:rPr>
          <w:rFonts w:hint="cs" w:eastAsiaTheme="minorEastAsia"/>
          <w:color w:val="FF0000"/>
        </w:rPr>
        <w:t>“</w:t>
      </w:r>
      <w:r>
        <w:rPr>
          <w:rFonts w:hint="eastAsia" w:eastAsiaTheme="minorEastAsia"/>
          <w:color w:val="FF0000"/>
        </w:rPr>
        <w:t>在用车轴距</w:t>
      </w:r>
      <w:r>
        <w:rPr>
          <w:rFonts w:hint="cs" w:eastAsiaTheme="minorEastAsia"/>
          <w:color w:val="FF0000"/>
        </w:rPr>
        <w:t>”</w:t>
      </w:r>
      <w:r>
        <w:rPr>
          <w:rFonts w:hint="eastAsia" w:eastAsiaTheme="minorEastAsia"/>
          <w:color w:val="FF0000"/>
        </w:rPr>
        <w:t>等检验项目（非必要不强制）。</w:t>
      </w:r>
    </w:p>
    <w:p>
      <w:pPr>
        <w:rPr>
          <w:rFonts w:hint="eastAsia" w:eastAsiaTheme="minorEastAsia"/>
          <w:color w:val="FF0000"/>
        </w:rPr>
      </w:pPr>
      <w:r>
        <w:rPr>
          <w:rFonts w:eastAsiaTheme="minorEastAsia"/>
          <w:color w:val="FF0000"/>
        </w:rPr>
        <w:t xml:space="preserve"> 4.</w:t>
      </w:r>
      <w:r>
        <w:rPr>
          <w:rFonts w:hint="eastAsia" w:eastAsiaTheme="minorEastAsia"/>
          <w:color w:val="FF0000"/>
        </w:rPr>
        <w:t>豁免部分特殊车型驻车制动、加载制动等检验项目。</w:t>
      </w:r>
    </w:p>
    <w:p>
      <w:pPr>
        <w:rPr>
          <w:rFonts w:hint="eastAsia" w:ascii="MicrosoftYaHei-Bold" w:hAnsi="MicrosoftYaHei-Bold" w:eastAsia="MicrosoftYaHei-Bold"/>
          <w:b/>
          <w:bCs w:val="0"/>
          <w:color w:val="auto"/>
          <w:sz w:val="21"/>
          <w:szCs w:val="21"/>
        </w:rPr>
      </w:pPr>
      <w:r>
        <w:rPr>
          <w:rFonts w:hint="eastAsia" w:ascii="MicrosoftYaHei-Bold" w:hAnsi="MicrosoftYaHei-Bold" w:eastAsia="MicrosoftYaHei-Bold"/>
          <w:b/>
          <w:bCs w:val="0"/>
          <w:color w:val="auto"/>
          <w:sz w:val="21"/>
          <w:szCs w:val="21"/>
        </w:rPr>
        <w:t>2.2 检验方法调整</w:t>
      </w:r>
    </w:p>
    <w:p>
      <w:pPr>
        <w:rPr>
          <w:rFonts w:hint="eastAsia" w:ascii="MicrosoftYaHei-Bold" w:hAnsi="MicrosoftYaHei-Bold" w:eastAsia="MicrosoftYaHei-Bold"/>
          <w:b/>
          <w:bCs w:val="0"/>
          <w:color w:val="auto"/>
          <w:sz w:val="21"/>
          <w:szCs w:val="21"/>
        </w:rPr>
      </w:pPr>
      <w:r>
        <w:drawing>
          <wp:inline distT="0" distB="0" distL="114300" distR="114300">
            <wp:extent cx="5932805" cy="2600325"/>
            <wp:effectExtent l="0" t="0" r="1079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32805" cy="2600325"/>
                    </a:xfrm>
                    <a:prstGeom prst="rect">
                      <a:avLst/>
                    </a:prstGeom>
                    <a:noFill/>
                    <a:ln>
                      <a:noFill/>
                    </a:ln>
                  </pic:spPr>
                </pic:pic>
              </a:graphicData>
            </a:graphic>
          </wp:inline>
        </w:drawing>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rPr>
        <w:t>调整细化了送检机动车（包括新能源汽车、汽车列车、旅居车等）的基本要求。</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rPr>
        <w:t>根据GB7258-2017强化了车辆识别代号、发动机号等车辆唯一性参数的检验方法。</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rPr>
        <w:t>依据GB18565-2016调整了大型客车、重中型货车、重中型载货专项作业车、重中型挂车的车体周正、轮胎、方向盘最大自由转动量等项目检验方法。</w:t>
      </w:r>
    </w:p>
    <w:p>
      <w:pPr>
        <w:spacing w:beforeLines="0" w:afterLines="0"/>
        <w:jc w:val="left"/>
        <w:rPr>
          <w:rFonts w:hint="eastAsia" w:ascii="MicrosoftYaHei-Bold" w:hAnsi="MicrosoftYaHei-Bold" w:eastAsia="MicrosoftYaHei-Bold"/>
          <w:b w:val="0"/>
          <w:bCs/>
          <w:color w:val="FF0000"/>
          <w:sz w:val="21"/>
          <w:szCs w:val="21"/>
        </w:rPr>
      </w:pPr>
      <w:r>
        <w:rPr>
          <w:rFonts w:hint="eastAsia" w:ascii="Wingdings-Regular" w:hAnsi="Wingdings-Regular" w:eastAsia="Wingdings-Regular"/>
          <w:b w:val="0"/>
          <w:bCs/>
          <w:color w:val="FF0000"/>
          <w:sz w:val="21"/>
          <w:szCs w:val="21"/>
        </w:rPr>
        <w:t xml:space="preserve"> </w:t>
      </w:r>
      <w:r>
        <w:rPr>
          <w:rFonts w:hint="eastAsia" w:ascii="MicrosoftYaHei-Bold" w:hAnsi="MicrosoftYaHei-Bold" w:eastAsia="MicrosoftYaHei-Bold"/>
          <w:b w:val="0"/>
          <w:bCs/>
          <w:color w:val="FF0000"/>
          <w:sz w:val="21"/>
          <w:szCs w:val="21"/>
        </w:rPr>
        <w:t>优化了制动性能、前照灯、侧滑等仪器设备的检验方法。</w:t>
      </w:r>
    </w:p>
    <w:p>
      <w:pPr>
        <w:rPr>
          <w:rFonts w:hint="eastAsia" w:ascii="MicrosoftYaHei-Bold" w:hAnsi="MicrosoftYaHei-Bold" w:eastAsia="MicrosoftYaHei-Bold"/>
          <w:b w:val="0"/>
          <w:bCs/>
          <w:color w:val="FF0000"/>
          <w:sz w:val="21"/>
          <w:szCs w:val="21"/>
        </w:rPr>
      </w:pPr>
      <w:r>
        <w:rPr>
          <w:rFonts w:hint="eastAsia" w:ascii="Wingdings-Regular" w:hAnsi="Wingdings-Regular" w:eastAsia="Wingdings-Regular"/>
          <w:b w:val="0"/>
          <w:bCs/>
          <w:color w:val="FF0000"/>
          <w:sz w:val="21"/>
          <w:szCs w:val="21"/>
        </w:rPr>
        <w:t xml:space="preserve"> </w:t>
      </w:r>
      <w:r>
        <w:rPr>
          <w:rFonts w:hint="eastAsia" w:ascii="MicrosoftYaHei-Bold" w:hAnsi="MicrosoftYaHei-Bold" w:eastAsia="MicrosoftYaHei-Bold"/>
          <w:b w:val="0"/>
          <w:bCs/>
          <w:color w:val="FF0000"/>
          <w:sz w:val="21"/>
          <w:szCs w:val="21"/>
        </w:rPr>
        <w:t>细化了仪器设备检验记录表样式。</w:t>
      </w:r>
    </w:p>
    <w:p>
      <w:pPr>
        <w:spacing w:beforeLines="0" w:afterLines="0"/>
        <w:jc w:val="left"/>
        <w:rPr>
          <w:rFonts w:hint="eastAsia" w:ascii="MicrosoftYaHei-Bold" w:hAnsi="MicrosoftYaHei-Bold" w:eastAsia="MicrosoftYaHei-Bold"/>
          <w:b/>
          <w:bCs w:val="0"/>
          <w:color w:val="auto"/>
          <w:sz w:val="21"/>
          <w:szCs w:val="21"/>
        </w:rPr>
      </w:pPr>
      <w:r>
        <w:rPr>
          <w:rFonts w:hint="eastAsia" w:ascii="MicrosoftYaHei-Bold" w:hAnsi="MicrosoftYaHei-Bold" w:eastAsia="MicrosoftYaHei-Bold"/>
          <w:b/>
          <w:bCs w:val="0"/>
          <w:color w:val="auto"/>
          <w:sz w:val="21"/>
          <w:szCs w:val="21"/>
        </w:rPr>
        <w:t>2.3 检验要求调整</w:t>
      </w:r>
    </w:p>
    <w:p>
      <w:pPr>
        <w:spacing w:beforeLines="0" w:afterLines="0"/>
        <w:jc w:val="left"/>
        <w:rPr>
          <w:rFonts w:hint="eastAsia" w:ascii="MicrosoftYaHei-Bold" w:hAnsi="MicrosoftYaHei-Bold" w:eastAsia="MicrosoftYaHei-Bold"/>
          <w:b/>
          <w:bCs w:val="0"/>
          <w:color w:val="auto"/>
          <w:sz w:val="21"/>
          <w:szCs w:val="21"/>
          <w:lang w:val="en-US" w:eastAsia="zh-CN"/>
        </w:rPr>
      </w:pPr>
      <w:r>
        <w:drawing>
          <wp:inline distT="0" distB="0" distL="114300" distR="114300">
            <wp:extent cx="5266690" cy="2980055"/>
            <wp:effectExtent l="0" t="0" r="10160" b="1079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1"/>
                    <a:stretch>
                      <a:fillRect/>
                    </a:stretch>
                  </pic:blipFill>
                  <pic:spPr>
                    <a:xfrm>
                      <a:off x="0" y="0"/>
                      <a:ext cx="5266690" cy="2980055"/>
                    </a:xfrm>
                    <a:prstGeom prst="rect">
                      <a:avLst/>
                    </a:prstGeom>
                    <a:noFill/>
                    <a:ln>
                      <a:noFill/>
                    </a:ln>
                  </pic:spPr>
                </pic:pic>
              </a:graphicData>
            </a:graphic>
          </wp:inline>
        </w:drawing>
      </w:r>
    </w:p>
    <w:p>
      <w:pPr>
        <w:spacing w:beforeLines="0" w:afterLines="0"/>
        <w:jc w:val="left"/>
        <w:rPr>
          <w:rFonts w:hint="eastAsia" w:ascii="MicrosoftYaHei-Bold" w:hAnsi="MicrosoftYaHei-Bold" w:eastAsia="MicrosoftYaHei-Bold"/>
          <w:b/>
          <w:bCs w:val="0"/>
          <w:color w:val="FF0000"/>
          <w:sz w:val="21"/>
          <w:szCs w:val="21"/>
        </w:rPr>
      </w:pPr>
      <w:r>
        <w:rPr>
          <w:rFonts w:hint="eastAsia" w:ascii="MicrosoftYaHei-Bold" w:hAnsi="MicrosoftYaHei-Bold" w:eastAsia="MicrosoftYaHei-Bold"/>
          <w:b/>
          <w:bCs w:val="0"/>
          <w:color w:val="FF0000"/>
          <w:sz w:val="21"/>
          <w:szCs w:val="21"/>
          <w:lang w:val="en-US" w:eastAsia="zh-CN"/>
        </w:rPr>
        <w:t>1.</w:t>
      </w:r>
      <w:r>
        <w:rPr>
          <w:rFonts w:hint="eastAsia" w:ascii="MicrosoftYaHei-Bold" w:hAnsi="MicrosoftYaHei-Bold" w:eastAsia="MicrosoftYaHei-Bold"/>
          <w:b/>
          <w:bCs w:val="0"/>
          <w:color w:val="FF0000"/>
          <w:sz w:val="21"/>
          <w:szCs w:val="21"/>
        </w:rPr>
        <w:t>强化大中型客车安全检验</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rPr>
        <w:t>胎爆胎应急防护装置</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2020年1月1日起出厂的专用校车、车长大于9m的未设置乘客站立区客车的转向轮。</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rPr>
        <w:t>驾驶区隔离设施</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2019年11月1日起出厂的车长大于等于6m的设有乘客站立区的客车和未设置乘客站立区的公共汽车，2020年8月1日起出厂的车长大于9m的公路客车和旅游客车。</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rPr>
        <w:t>汽车行驶记录装置</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2018年1月1日起出厂的设有乘客站立区的客车，2019年1月1日起出厂的公路客车、旅游客车、未设置乘客站立区的公共汽车、校车、设有乘客站立区的客车以外的其他客车。</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rPr>
        <w:t>应急锤</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2019年1月1日起出厂的公路客车、旅游客车和未设置乘客站立区的公共汽车的外推式应急窗邻近处应配备。</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rPr>
        <w:t>车速限制/报警功能或装置</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2018年1月1日起出厂的车长大于 9m 的其他客车（除公路客车、旅游客车、未设置乘客站立区的公共汽车的客车）。</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rPr>
        <w:t>客车应急出口</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2019年1月1日起出厂的公路客车、旅游客车和未设置乘客站立区的公共汽车，车长大于9m时车身左右两侧应至少各配置2个外推式应急窗并应在车身左侧设置1个应急门，车长大于7m且小于等于9m时车身左右两侧应至少各配置1个外推式应急窗。</w:t>
      </w:r>
    </w:p>
    <w:p>
      <w:pPr>
        <w:numPr>
          <w:ilvl w:val="0"/>
          <w:numId w:val="4"/>
        </w:numPr>
        <w:spacing w:beforeLines="0" w:afterLines="0"/>
        <w:jc w:val="left"/>
        <w:rPr>
          <w:rFonts w:hint="eastAsia" w:ascii="MicrosoftYaHei-Bold" w:hAnsi="MicrosoftYaHei-Bold" w:eastAsia="MicrosoftYaHei-Bold"/>
          <w:b/>
          <w:bCs w:val="0"/>
          <w:color w:val="auto"/>
          <w:sz w:val="21"/>
          <w:szCs w:val="21"/>
        </w:rPr>
      </w:pPr>
      <w:r>
        <w:rPr>
          <w:rFonts w:hint="eastAsia" w:ascii="MicrosoftYaHei-Bold" w:hAnsi="MicrosoftYaHei-Bold" w:eastAsia="MicrosoftYaHei-Bold"/>
          <w:b/>
          <w:bCs w:val="0"/>
          <w:color w:val="auto"/>
          <w:sz w:val="21"/>
          <w:szCs w:val="21"/>
        </w:rPr>
        <w:t>强化重中型货车安全检验</w:t>
      </w:r>
    </w:p>
    <w:p>
      <w:pPr>
        <w:spacing w:beforeLines="0" w:afterLines="0"/>
        <w:jc w:val="left"/>
        <w:rPr>
          <w:rFonts w:hint="eastAsia" w:ascii="MicrosoftYaHei-Bold" w:hAnsi="MicrosoftYaHei-Bold" w:eastAsia="MicrosoftYaHei-Bold"/>
          <w:b w:val="0"/>
          <w:bCs/>
          <w:color w:val="FF0000"/>
          <w:sz w:val="21"/>
          <w:szCs w:val="21"/>
        </w:rPr>
      </w:pPr>
      <w:r>
        <w:drawing>
          <wp:inline distT="0" distB="0" distL="114300" distR="114300">
            <wp:extent cx="5266690" cy="2962910"/>
            <wp:effectExtent l="0" t="0" r="10160" b="889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r>
        <w:rPr>
          <w:rFonts w:hint="eastAsia" w:ascii="MicrosoftYaHei-Bold" w:hAnsi="MicrosoftYaHei-Bold" w:eastAsia="MicrosoftYaHei-Bold"/>
          <w:b w:val="0"/>
          <w:bCs/>
          <w:color w:val="auto"/>
          <w:sz w:val="21"/>
          <w:szCs w:val="21"/>
          <w:lang w:val="en-US" w:eastAsia="zh-CN"/>
        </w:rPr>
        <w:t>*</w:t>
      </w:r>
      <w:r>
        <w:rPr>
          <w:rFonts w:hint="eastAsia" w:ascii="MicrosoftYaHei-Bold" w:hAnsi="MicrosoftYaHei-Bold" w:eastAsia="MicrosoftYaHei-Bold"/>
          <w:b w:val="0"/>
          <w:bCs/>
          <w:color w:val="auto"/>
          <w:sz w:val="21"/>
          <w:szCs w:val="21"/>
        </w:rPr>
        <w:t>轮胎爆胎</w:t>
      </w:r>
      <w:r>
        <w:rPr>
          <w:rFonts w:hint="eastAsia" w:ascii="MicrosoftYaHei-Bold" w:hAnsi="MicrosoftYaHei-Bold" w:eastAsia="MicrosoftYaHei-Bold"/>
          <w:b w:val="0"/>
          <w:bCs/>
          <w:color w:val="FF0000"/>
          <w:sz w:val="21"/>
          <w:szCs w:val="21"/>
          <w:lang w:eastAsia="zh-CN"/>
        </w:rPr>
        <w:t>轮胎爆胎</w:t>
      </w:r>
      <w:r>
        <w:rPr>
          <w:rFonts w:hint="eastAsia" w:ascii="MicrosoftYaHei-Bold" w:hAnsi="MicrosoftYaHei-Bold" w:eastAsia="MicrosoftYaHei-Bold"/>
          <w:b w:val="0"/>
          <w:bCs/>
          <w:color w:val="FF0000"/>
          <w:sz w:val="21"/>
          <w:szCs w:val="21"/>
        </w:rPr>
        <w:t>应急防护装置</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总质量大于3500kg的危险货物运输货车的转向轮。</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lang w:val="en-US" w:eastAsia="zh-CN"/>
        </w:rPr>
        <w:t>*</w:t>
      </w:r>
      <w:r>
        <w:rPr>
          <w:rFonts w:hint="eastAsia" w:ascii="MicrosoftYaHei-Bold" w:hAnsi="MicrosoftYaHei-Bold" w:eastAsia="MicrosoftYaHei-Bold"/>
          <w:b w:val="0"/>
          <w:bCs/>
          <w:color w:val="FF0000"/>
          <w:sz w:val="21"/>
          <w:szCs w:val="21"/>
        </w:rPr>
        <w:t>紧急切断装置自动关闭或报警功能</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2019年1月1日起出厂的车辆配备的紧急切断装置自动关闭或提示报警功能应符合GB 7258的要求。</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lang w:val="en-US" w:eastAsia="zh-CN"/>
        </w:rPr>
        <w:t>*</w:t>
      </w:r>
      <w:r>
        <w:rPr>
          <w:rFonts w:hint="eastAsia" w:ascii="MicrosoftYaHei-Bold" w:hAnsi="MicrosoftYaHei-Bold" w:eastAsia="MicrosoftYaHei-Bold"/>
          <w:b w:val="0"/>
          <w:bCs/>
          <w:color w:val="FF0000"/>
          <w:sz w:val="21"/>
          <w:szCs w:val="21"/>
        </w:rPr>
        <w:t>盘式制动器</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2019年1月1日起出厂的危险货物运输半挂车，2020年1月1日起出厂的三轴栏板式、三轴仓栅式半挂车的所有车轮的所有车轮。</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lang w:val="en-US" w:eastAsia="zh-CN"/>
        </w:rPr>
        <w:t>*</w:t>
      </w:r>
      <w:r>
        <w:rPr>
          <w:rFonts w:hint="eastAsia" w:ascii="MicrosoftYaHei-Bold" w:hAnsi="MicrosoftYaHei-Bold" w:eastAsia="MicrosoftYaHei-Bold"/>
          <w:b w:val="0"/>
          <w:bCs/>
          <w:color w:val="FF0000"/>
          <w:sz w:val="21"/>
          <w:szCs w:val="21"/>
        </w:rPr>
        <w:t>车速限制/报警功能或装置</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2019年1月1日起出厂的三轴及三轴以上货车（具有限速功能或配备有限速装置，且限速功能或装置符合规定的除外）应具有超速报警功能。</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lang w:val="en-US" w:eastAsia="zh-CN"/>
        </w:rPr>
        <w:t>*</w:t>
      </w:r>
      <w:r>
        <w:rPr>
          <w:rFonts w:hint="eastAsia" w:ascii="MicrosoftYaHei-Bold" w:hAnsi="MicrosoftYaHei-Bold" w:eastAsia="MicrosoftYaHei-Bold"/>
          <w:b w:val="0"/>
          <w:bCs/>
          <w:color w:val="FF0000"/>
          <w:sz w:val="21"/>
          <w:szCs w:val="21"/>
        </w:rPr>
        <w:t>右转弯音响提示装置</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2019年1月1日起出厂的总质量大于等于12000kg的货车。</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lang w:val="en-US" w:eastAsia="zh-CN"/>
        </w:rPr>
        <w:t>*</w:t>
      </w:r>
      <w:r>
        <w:rPr>
          <w:rFonts w:hint="eastAsia" w:ascii="MicrosoftYaHei-Bold" w:hAnsi="MicrosoftYaHei-Bold" w:eastAsia="MicrosoftYaHei-Bold"/>
          <w:b w:val="0"/>
          <w:bCs/>
          <w:color w:val="FF0000"/>
          <w:sz w:val="21"/>
          <w:szCs w:val="21"/>
        </w:rPr>
        <w:t>制动间隙自动调整装置</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rPr>
        <w:t>2 0 1 8年1月1日起出厂总质量大于3500kg的货车和专项作业车（具有全轮驱动功能的货车和专项作业车除外）、总质量大于3500kg的半挂车、危险货物运输车辆的所有行车制动器。</w:t>
      </w:r>
    </w:p>
    <w:p>
      <w:pPr>
        <w:spacing w:beforeLines="0" w:afterLines="0"/>
        <w:jc w:val="left"/>
        <w:rPr>
          <w:rFonts w:hint="default" w:ascii="MicrosoftYaHei" w:hAnsi="MicrosoftYaHei" w:eastAsia="MicrosoftYaHei"/>
          <w:b/>
          <w:bCs w:val="0"/>
          <w:color w:val="auto"/>
          <w:sz w:val="21"/>
          <w:szCs w:val="21"/>
          <w:lang w:val="en-US" w:eastAsia="zh-CN"/>
        </w:rPr>
      </w:pPr>
      <w:r>
        <w:rPr>
          <w:rFonts w:hint="eastAsia" w:ascii="MicrosoftYaHei" w:hAnsi="MicrosoftYaHei" w:eastAsia="MicrosoftYaHei"/>
          <w:b/>
          <w:bCs w:val="0"/>
          <w:color w:val="auto"/>
          <w:sz w:val="21"/>
          <w:szCs w:val="21"/>
          <w:lang w:val="en-US" w:eastAsia="zh-CN"/>
        </w:rPr>
        <w:t>3.</w:t>
      </w:r>
      <w:r>
        <w:rPr>
          <w:rFonts w:hint="eastAsia" w:ascii="MicrosoftYaHei-Bold" w:hAnsi="MicrosoftYaHei-Bold" w:eastAsia="MicrosoftYaHei-Bold"/>
          <w:b/>
          <w:bCs w:val="0"/>
          <w:color w:val="auto"/>
          <w:sz w:val="21"/>
          <w:szCs w:val="21"/>
        </w:rPr>
        <w:t>强化新能源汽车安全检验</w:t>
      </w:r>
      <w:r>
        <w:drawing>
          <wp:inline distT="0" distB="0" distL="114300" distR="114300">
            <wp:extent cx="5271135" cy="2962910"/>
            <wp:effectExtent l="0" t="0" r="5715" b="889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5271135" cy="2962910"/>
                    </a:xfrm>
                    <a:prstGeom prst="rect">
                      <a:avLst/>
                    </a:prstGeom>
                    <a:noFill/>
                    <a:ln>
                      <a:noFill/>
                    </a:ln>
                  </pic:spPr>
                </pic:pic>
              </a:graphicData>
            </a:graphic>
          </wp:inline>
        </w:drawing>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lang w:val="en-US" w:eastAsia="zh-CN"/>
        </w:rPr>
        <w:t>*</w:t>
      </w:r>
      <w:r>
        <w:rPr>
          <w:rFonts w:hint="eastAsia" w:ascii="MicrosoftYaHei-Bold" w:hAnsi="MicrosoftYaHei-Bold" w:eastAsia="MicrosoftYaHei-Bold"/>
          <w:b w:val="0"/>
          <w:bCs/>
          <w:color w:val="FF0000"/>
          <w:sz w:val="21"/>
          <w:szCs w:val="21"/>
        </w:rPr>
        <w:t>插电式混合动力汽车、纯电动汽车应具有外接充电接口，且充电接口表面不应有明显变形或烧蚀痕迹。</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lang w:val="en-US" w:eastAsia="zh-CN"/>
        </w:rPr>
        <w:t>*</w:t>
      </w:r>
      <w:r>
        <w:rPr>
          <w:rFonts w:hint="eastAsia" w:ascii="MicrosoftYaHei-Bold" w:hAnsi="MicrosoftYaHei-Bold" w:eastAsia="MicrosoftYaHei-Bold"/>
          <w:b w:val="0"/>
          <w:bCs/>
          <w:color w:val="FF0000"/>
          <w:sz w:val="21"/>
          <w:szCs w:val="21"/>
        </w:rPr>
        <w:t>2018年1月1日起出厂的纯电动汽车、插电式混合动力汽车，目视检查可见区域内B级电压电路中可充电储能系统应用符合规定的警告标记予以标识。</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lang w:val="en-US" w:eastAsia="zh-CN"/>
        </w:rPr>
        <w:t>*</w:t>
      </w:r>
      <w:r>
        <w:rPr>
          <w:rFonts w:hint="eastAsia" w:ascii="MicrosoftYaHei-Bold" w:hAnsi="MicrosoftYaHei-Bold" w:eastAsia="MicrosoftYaHei-Bold"/>
          <w:b w:val="0"/>
          <w:bCs/>
          <w:color w:val="FF0000"/>
          <w:sz w:val="21"/>
          <w:szCs w:val="21"/>
        </w:rPr>
        <w:t>目视检查可见区域内，高、低压线束、连接器不应有断裂、破损、表面材料溶解或烧蚀痕迹。</w:t>
      </w:r>
    </w:p>
    <w:p>
      <w:pPr>
        <w:spacing w:beforeLines="0" w:afterLines="0"/>
        <w:jc w:val="left"/>
        <w:rPr>
          <w:rFonts w:hint="eastAsia" w:ascii="MicrosoftYaHei-Bold" w:hAnsi="MicrosoftYaHei-Bold" w:eastAsia="MicrosoftYaHei-Bold"/>
          <w:b w:val="0"/>
          <w:bCs/>
          <w:color w:val="FF0000"/>
          <w:sz w:val="21"/>
          <w:szCs w:val="21"/>
        </w:rPr>
      </w:pPr>
      <w:r>
        <w:rPr>
          <w:rFonts w:hint="eastAsia" w:ascii="MicrosoftYaHei-Bold" w:hAnsi="MicrosoftYaHei-Bold" w:eastAsia="MicrosoftYaHei-Bold"/>
          <w:b w:val="0"/>
          <w:bCs/>
          <w:color w:val="FF0000"/>
          <w:sz w:val="21"/>
          <w:szCs w:val="21"/>
          <w:lang w:val="en-US" w:eastAsia="zh-CN"/>
        </w:rPr>
        <w:t>*</w:t>
      </w:r>
      <w:r>
        <w:rPr>
          <w:rFonts w:hint="eastAsia" w:ascii="MicrosoftYaHei-Bold" w:hAnsi="MicrosoftYaHei-Bold" w:eastAsia="MicrosoftYaHei-Bold"/>
          <w:b w:val="0"/>
          <w:bCs/>
          <w:color w:val="FF0000"/>
          <w:sz w:val="21"/>
          <w:szCs w:val="21"/>
        </w:rPr>
        <w:t>纯电动汽车、插电式混合动力汽车可充电储能系统外壳不应有明显变形、裂纹、外伤或电解液泄漏情况。</w:t>
      </w:r>
    </w:p>
    <w:p>
      <w:pPr>
        <w:spacing w:beforeLines="0" w:afterLines="0"/>
        <w:jc w:val="left"/>
        <w:rPr>
          <w:rFonts w:hint="eastAsia" w:ascii="Arial-BoldMT" w:hAnsi="Arial-BoldMT" w:eastAsia="Arial-BoldMT"/>
          <w:b/>
          <w:color w:val="FFFFFF"/>
          <w:sz w:val="36"/>
        </w:rPr>
      </w:pPr>
      <w:r>
        <w:rPr>
          <w:rFonts w:hint="eastAsia" w:ascii="Arial-BoldMT" w:hAnsi="Arial-BoldMT" w:eastAsia="Arial-BoldMT"/>
          <w:b/>
          <w:color w:val="FFFFFF"/>
          <w:sz w:val="36"/>
        </w:rPr>
        <w:t>1</w:t>
      </w:r>
    </w:p>
    <w:p>
      <w:pPr>
        <w:spacing w:beforeLines="0" w:afterLines="0"/>
        <w:jc w:val="left"/>
        <w:rPr>
          <w:rFonts w:hint="eastAsia" w:ascii="Arial-BoldMT" w:hAnsi="Arial-BoldMT" w:eastAsia="Arial-BoldMT"/>
          <w:b/>
          <w:bCs w:val="0"/>
          <w:color w:val="auto"/>
          <w:sz w:val="21"/>
          <w:szCs w:val="21"/>
        </w:rPr>
      </w:pPr>
      <w:r>
        <w:rPr>
          <w:rFonts w:hint="eastAsia" w:ascii="MicrosoftYaHei-Bold" w:hAnsi="MicrosoftYaHei-Bold" w:eastAsia="MicrosoftYaHei-Bold"/>
          <w:b/>
          <w:bCs w:val="0"/>
          <w:color w:val="auto"/>
          <w:sz w:val="21"/>
          <w:szCs w:val="21"/>
          <w:lang w:val="en-US" w:eastAsia="zh-CN"/>
        </w:rPr>
        <w:t>2.</w:t>
      </w:r>
      <w:r>
        <w:rPr>
          <w:rFonts w:hint="eastAsia" w:ascii="MicrosoftYaHei-Bold" w:hAnsi="MicrosoftYaHei-Bold" w:eastAsia="MicrosoftYaHei-Bold"/>
          <w:b/>
          <w:bCs w:val="0"/>
          <w:color w:val="auto"/>
          <w:sz w:val="21"/>
          <w:szCs w:val="21"/>
        </w:rPr>
        <w:t>4.强化车辆唯一性安全检验</w:t>
      </w:r>
      <w:r>
        <w:drawing>
          <wp:inline distT="0" distB="0" distL="114300" distR="114300">
            <wp:extent cx="5271135" cy="2958465"/>
            <wp:effectExtent l="0" t="0" r="5715" b="1333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4"/>
                    <a:stretch>
                      <a:fillRect/>
                    </a:stretch>
                  </pic:blipFill>
                  <pic:spPr>
                    <a:xfrm>
                      <a:off x="0" y="0"/>
                      <a:ext cx="5271135" cy="2958465"/>
                    </a:xfrm>
                    <a:prstGeom prst="rect">
                      <a:avLst/>
                    </a:prstGeom>
                    <a:noFill/>
                    <a:ln>
                      <a:noFill/>
                    </a:ln>
                  </pic:spPr>
                </pic:pic>
              </a:graphicData>
            </a:graphic>
          </wp:inline>
        </w:drawing>
      </w:r>
    </w:p>
    <w:p>
      <w:pPr>
        <w:spacing w:beforeLines="0" w:afterLines="0"/>
        <w:jc w:val="left"/>
        <w:rPr>
          <w:rFonts w:hint="eastAsia" w:ascii="MicrosoftYaHei" w:hAnsi="MicrosoftYaHei" w:eastAsia="MicrosoftYaHei"/>
          <w:b w:val="0"/>
          <w:bCs/>
          <w:color w:val="FF0000"/>
          <w:sz w:val="21"/>
          <w:szCs w:val="21"/>
        </w:rPr>
      </w:pPr>
      <w:r>
        <w:rPr>
          <w:rFonts w:hint="eastAsia" w:ascii="Arial-BoldMT" w:hAnsi="Arial-BoldMT" w:eastAsia="Arial-BoldMT"/>
          <w:b w:val="0"/>
          <w:bCs/>
          <w:color w:val="FF0000"/>
          <w:sz w:val="21"/>
          <w:szCs w:val="21"/>
          <w:lang w:val="en-US" w:eastAsia="zh-CN"/>
        </w:rPr>
        <w:t>*</w:t>
      </w:r>
      <w:r>
        <w:rPr>
          <w:rFonts w:hint="eastAsia" w:ascii="MicrosoftYaHei" w:hAnsi="MicrosoftYaHei" w:eastAsia="MicrosoftYaHei"/>
          <w:b w:val="0"/>
          <w:bCs/>
          <w:color w:val="FF0000"/>
          <w:sz w:val="21"/>
          <w:szCs w:val="21"/>
        </w:rPr>
        <w:t>对于2018年1月1日起出厂的总质量大于等于12000kg的栏板式、仓栅式、自卸式、罐式货车及总质量大于等于10000kg 的栏板式、仓栅式、自卸式、罐式挂车还应在其</w:t>
      </w:r>
      <w:r>
        <w:rPr>
          <w:rFonts w:hint="eastAsia" w:ascii="MicrosoftYaHei-Bold" w:hAnsi="MicrosoftYaHei-Bold" w:eastAsia="MicrosoftYaHei-Bold"/>
          <w:b w:val="0"/>
          <w:bCs/>
          <w:color w:val="FF0000"/>
          <w:sz w:val="21"/>
          <w:szCs w:val="21"/>
        </w:rPr>
        <w:t>货箱或常压罐体上打刻至少两个车辆识别代号</w:t>
      </w:r>
      <w:r>
        <w:rPr>
          <w:rFonts w:hint="eastAsia" w:ascii="MicrosoftYaHei" w:hAnsi="MicrosoftYaHei" w:eastAsia="MicrosoftYaHei"/>
          <w:b w:val="0"/>
          <w:bCs/>
          <w:color w:val="FF0000"/>
          <w:sz w:val="21"/>
          <w:szCs w:val="21"/>
        </w:rPr>
        <w:t>。</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lang w:val="en-US" w:eastAsia="zh-CN"/>
        </w:rPr>
        <w:t>*</w:t>
      </w:r>
      <w:r>
        <w:rPr>
          <w:rFonts w:hint="eastAsia" w:ascii="MicrosoftYaHei" w:hAnsi="MicrosoftYaHei" w:eastAsia="MicrosoftYaHei"/>
          <w:b w:val="0"/>
          <w:bCs/>
          <w:color w:val="FF0000"/>
          <w:sz w:val="21"/>
          <w:szCs w:val="21"/>
        </w:rPr>
        <w:t>对于2019年1月1日起出厂的乘用车以外的其他汽车， 至少有一个</w:t>
      </w:r>
      <w:r>
        <w:rPr>
          <w:rFonts w:hint="eastAsia" w:ascii="MicrosoftYaHei-Bold" w:hAnsi="MicrosoftYaHei-Bold" w:eastAsia="MicrosoftYaHei-Bold"/>
          <w:b w:val="0"/>
          <w:bCs/>
          <w:color w:val="FF0000"/>
          <w:sz w:val="21"/>
          <w:szCs w:val="21"/>
        </w:rPr>
        <w:t>E C U应记载有车辆识别代号</w:t>
      </w:r>
      <w:r>
        <w:rPr>
          <w:rFonts w:hint="eastAsia" w:ascii="MicrosoftYaHei" w:hAnsi="MicrosoftYaHei" w:eastAsia="MicrosoftYaHei"/>
          <w:b w:val="0"/>
          <w:bCs/>
          <w:color w:val="FF0000"/>
          <w:sz w:val="21"/>
          <w:szCs w:val="21"/>
        </w:rPr>
        <w:t>等特征信息。</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lang w:val="en-US" w:eastAsia="zh-CN"/>
        </w:rPr>
        <w:t>*</w:t>
      </w:r>
      <w:r>
        <w:rPr>
          <w:rFonts w:hint="eastAsia" w:ascii="MicrosoftYaHei" w:hAnsi="MicrosoftYaHei" w:eastAsia="MicrosoftYaHei"/>
          <w:b w:val="0"/>
          <w:bCs/>
          <w:color w:val="FF0000"/>
          <w:sz w:val="21"/>
          <w:szCs w:val="21"/>
        </w:rPr>
        <w:t>对于2019年1月1日起出厂的总质量大于等于12000kg的货车、货车底盘改装的专项作业车及所有牵引杆挂车，</w:t>
      </w:r>
      <w:r>
        <w:rPr>
          <w:rFonts w:hint="eastAsia" w:ascii="MicrosoftYaHei-Bold" w:hAnsi="MicrosoftYaHei-Bold" w:eastAsia="MicrosoftYaHei-Bold"/>
          <w:b w:val="0"/>
          <w:bCs/>
          <w:color w:val="FF0000"/>
          <w:sz w:val="21"/>
          <w:szCs w:val="21"/>
        </w:rPr>
        <w:t>车辆识别代号应打刻在右前轮纵向中心线前端纵梁外侧</w:t>
      </w:r>
      <w:r>
        <w:rPr>
          <w:rFonts w:hint="eastAsia" w:ascii="MicrosoftYaHei" w:hAnsi="MicrosoftYaHei" w:eastAsia="MicrosoftYaHei"/>
          <w:b w:val="0"/>
          <w:bCs/>
          <w:color w:val="FF0000"/>
          <w:sz w:val="21"/>
          <w:szCs w:val="21"/>
        </w:rPr>
        <w:t>。</w:t>
      </w:r>
    </w:p>
    <w:p>
      <w:pPr>
        <w:spacing w:beforeLines="0" w:afterLines="0"/>
        <w:jc w:val="left"/>
        <w:rPr>
          <w:rFonts w:hint="eastAsia" w:ascii="MicrosoftYaHei" w:hAnsi="MicrosoftYaHei" w:eastAsia="MicrosoftYaHei"/>
          <w:b w:val="0"/>
          <w:bCs/>
          <w:color w:val="FF0000"/>
          <w:sz w:val="21"/>
          <w:szCs w:val="21"/>
        </w:rPr>
      </w:pPr>
      <w:r>
        <w:rPr>
          <w:rFonts w:hint="eastAsia" w:ascii="MicrosoftYaHei" w:hAnsi="MicrosoftYaHei" w:eastAsia="MicrosoftYaHei"/>
          <w:b w:val="0"/>
          <w:bCs/>
          <w:color w:val="FF0000"/>
          <w:sz w:val="21"/>
          <w:szCs w:val="21"/>
          <w:lang w:val="en-US" w:eastAsia="zh-CN"/>
        </w:rPr>
        <w:t>*</w:t>
      </w:r>
      <w:r>
        <w:rPr>
          <w:rFonts w:hint="eastAsia" w:ascii="MicrosoftYaHei" w:hAnsi="MicrosoftYaHei" w:eastAsia="MicrosoftYaHei"/>
          <w:b w:val="0"/>
          <w:bCs/>
          <w:color w:val="FF0000"/>
          <w:sz w:val="21"/>
          <w:szCs w:val="21"/>
        </w:rPr>
        <w:t>对于2019年1月1日起出厂的半挂车和中置轴挂车，车辆识别代号应打刻在</w:t>
      </w:r>
      <w:r>
        <w:rPr>
          <w:rFonts w:hint="eastAsia" w:ascii="MicrosoftYaHei-Bold" w:hAnsi="MicrosoftYaHei-Bold" w:eastAsia="MicrosoftYaHei-Bold"/>
          <w:b w:val="0"/>
          <w:bCs/>
          <w:color w:val="FF0000"/>
          <w:sz w:val="21"/>
          <w:szCs w:val="21"/>
        </w:rPr>
        <w:t>右前支腿前端纵梁外侧</w:t>
      </w:r>
      <w:r>
        <w:rPr>
          <w:rFonts w:hint="eastAsia" w:ascii="MicrosoftYaHei" w:hAnsi="MicrosoftYaHei" w:eastAsia="MicrosoftYaHei"/>
          <w:b w:val="0"/>
          <w:bCs/>
          <w:color w:val="FF0000"/>
          <w:sz w:val="21"/>
          <w:szCs w:val="21"/>
        </w:rPr>
        <w:t>（无纵梁的除外）。</w:t>
      </w:r>
    </w:p>
    <w:p>
      <w:pPr>
        <w:spacing w:beforeLines="0" w:afterLines="0"/>
        <w:jc w:val="left"/>
        <w:rPr>
          <w:rFonts w:hint="eastAsia" w:ascii="MicrosoftYaHei" w:hAnsi="MicrosoftYaHei" w:eastAsia="MicrosoftYaHei"/>
          <w:b w:val="0"/>
          <w:bCs/>
          <w:color w:val="auto"/>
          <w:sz w:val="21"/>
          <w:szCs w:val="21"/>
        </w:rPr>
      </w:pPr>
      <w:r>
        <w:rPr>
          <w:rFonts w:hint="eastAsia" w:ascii="MicrosoftYaHei-Bold" w:hAnsi="MicrosoftYaHei-Bold" w:eastAsia="MicrosoftYaHei-Bold"/>
          <w:b/>
          <w:color w:val="auto"/>
          <w:sz w:val="21"/>
          <w:szCs w:val="21"/>
          <w:lang w:val="en-US" w:eastAsia="zh-CN"/>
        </w:rPr>
        <w:t>2.5</w:t>
      </w:r>
      <w:r>
        <w:rPr>
          <w:rFonts w:hint="eastAsia" w:ascii="MicrosoftYaHei-Bold" w:hAnsi="MicrosoftYaHei-Bold" w:eastAsia="MicrosoftYaHei-Bold"/>
          <w:b/>
          <w:color w:val="auto"/>
          <w:sz w:val="21"/>
          <w:szCs w:val="21"/>
        </w:rPr>
        <w:t>重点调整关注</w:t>
      </w:r>
      <w:r>
        <w:drawing>
          <wp:inline distT="0" distB="0" distL="114300" distR="114300">
            <wp:extent cx="5271135" cy="2589530"/>
            <wp:effectExtent l="0" t="0" r="5715" b="127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5"/>
                    <a:stretch>
                      <a:fillRect/>
                    </a:stretch>
                  </pic:blipFill>
                  <pic:spPr>
                    <a:xfrm>
                      <a:off x="0" y="0"/>
                      <a:ext cx="5271135" cy="2589530"/>
                    </a:xfrm>
                    <a:prstGeom prst="rect">
                      <a:avLst/>
                    </a:prstGeom>
                    <a:noFill/>
                    <a:ln>
                      <a:noFill/>
                    </a:ln>
                  </pic:spPr>
                </pic:pic>
              </a:graphicData>
            </a:graphic>
          </wp:inline>
        </w:drawing>
      </w:r>
    </w:p>
    <w:p>
      <w:pPr>
        <w:spacing w:beforeLines="0" w:afterLines="0"/>
        <w:jc w:val="left"/>
        <w:rPr>
          <w:rFonts w:hint="eastAsia" w:ascii="MicrosoftYaHei" w:hAnsi="MicrosoftYaHei" w:eastAsia="MicrosoftYaHei"/>
          <w:b w:val="0"/>
          <w:bCs/>
          <w:color w:val="auto"/>
          <w:sz w:val="21"/>
          <w:szCs w:val="21"/>
        </w:rPr>
      </w:pPr>
      <w:r>
        <w:rPr>
          <w:rFonts w:hint="eastAsia"/>
          <w:color w:val="000000"/>
          <w:spacing w:val="0"/>
          <w:w w:val="100"/>
          <w:position w:val="0"/>
          <w:lang w:val="en-US" w:eastAsia="zh-CN"/>
        </w:rPr>
        <w:t>*</w:t>
      </w:r>
      <w:r>
        <w:rPr>
          <w:color w:val="000000"/>
          <w:spacing w:val="0"/>
          <w:w w:val="100"/>
          <w:position w:val="0"/>
        </w:rPr>
        <w:t>在用机动车安全检验时</w:t>
      </w:r>
      <w:r>
        <w:rPr>
          <w:rFonts w:ascii="Times New Roman" w:hAnsi="Times New Roman" w:eastAsia="Times New Roman" w:cs="Times New Roman"/>
          <w:color w:val="000000"/>
          <w:spacing w:val="0"/>
          <w:w w:val="100"/>
          <w:position w:val="0"/>
        </w:rPr>
        <w:t>,2015</w:t>
      </w:r>
      <w:r>
        <w:rPr>
          <w:color w:val="000000"/>
          <w:spacing w:val="0"/>
          <w:w w:val="100"/>
          <w:position w:val="0"/>
        </w:rPr>
        <w:t>年</w:t>
      </w:r>
      <w:r>
        <w:rPr>
          <w:rFonts w:ascii="Times New Roman" w:hAnsi="Times New Roman" w:eastAsia="Times New Roman" w:cs="Times New Roman"/>
          <w:color w:val="000000"/>
          <w:spacing w:val="0"/>
          <w:w w:val="100"/>
          <w:position w:val="0"/>
        </w:rPr>
        <w:t>3</w:t>
      </w:r>
      <w:r>
        <w:rPr>
          <w:color w:val="000000"/>
          <w:spacing w:val="0"/>
          <w:w w:val="100"/>
          <w:position w:val="0"/>
        </w:rPr>
        <w:t>月</w:t>
      </w:r>
      <w:r>
        <w:rPr>
          <w:rFonts w:ascii="Times New Roman" w:hAnsi="Times New Roman" w:eastAsia="Times New Roman" w:cs="Times New Roman"/>
          <w:color w:val="000000"/>
          <w:spacing w:val="0"/>
          <w:w w:val="100"/>
          <w:position w:val="0"/>
        </w:rPr>
        <w:t>1</w:t>
      </w:r>
      <w:r>
        <w:rPr>
          <w:color w:val="000000"/>
          <w:spacing w:val="0"/>
          <w:w w:val="100"/>
          <w:position w:val="0"/>
        </w:rPr>
        <w:t>日起注册登记的货车、重中型挂车的空车质量与机动 车注册登记时记载的整备质量技术参数相比，误差应满足：重中型货车、重中型挂车不超过</w:t>
      </w:r>
      <w:r>
        <w:rPr>
          <w:rFonts w:ascii="Times New Roman" w:hAnsi="Times New Roman" w:eastAsia="Times New Roman" w:cs="Times New Roman"/>
          <w:color w:val="000000"/>
          <w:spacing w:val="0"/>
          <w:w w:val="100"/>
          <w:position w:val="0"/>
        </w:rPr>
        <w:t>±10%</w:t>
      </w:r>
      <w:r>
        <w:rPr>
          <w:color w:val="000000"/>
          <w:spacing w:val="0"/>
          <w:w w:val="100"/>
          <w:position w:val="0"/>
        </w:rPr>
        <w:t xml:space="preserve">或 </w:t>
      </w:r>
      <w:r>
        <w:rPr>
          <w:rFonts w:ascii="Times New Roman" w:hAnsi="Times New Roman" w:eastAsia="Times New Roman" w:cs="Times New Roman"/>
          <w:color w:val="000000"/>
          <w:spacing w:val="0"/>
          <w:w w:val="100"/>
          <w:position w:val="0"/>
        </w:rPr>
        <w:t xml:space="preserve">±500 </w:t>
      </w:r>
      <w:r>
        <w:rPr>
          <w:rFonts w:ascii="Times New Roman" w:hAnsi="Times New Roman" w:eastAsia="Times New Roman" w:cs="Times New Roman"/>
          <w:color w:val="000000"/>
          <w:spacing w:val="0"/>
          <w:w w:val="100"/>
          <w:position w:val="0"/>
          <w:lang w:val="en-US" w:eastAsia="en-US" w:bidi="en-US"/>
        </w:rPr>
        <w:t>kg,</w:t>
      </w:r>
      <w:r>
        <w:rPr>
          <w:color w:val="000000"/>
          <w:spacing w:val="0"/>
          <w:w w:val="100"/>
          <w:position w:val="0"/>
        </w:rPr>
        <w:t>轻微型货车不超过</w:t>
      </w:r>
      <w:r>
        <w:rPr>
          <w:rFonts w:ascii="Times New Roman" w:hAnsi="Times New Roman" w:eastAsia="Times New Roman" w:cs="Times New Roman"/>
          <w:color w:val="000000"/>
          <w:spacing w:val="0"/>
          <w:w w:val="100"/>
          <w:position w:val="0"/>
        </w:rPr>
        <w:t>±10%</w:t>
      </w:r>
      <w:r>
        <w:rPr>
          <w:color w:val="000000"/>
          <w:spacing w:val="0"/>
          <w:w w:val="100"/>
          <w:position w:val="0"/>
        </w:rPr>
        <w:t>或</w:t>
      </w:r>
      <w:r>
        <w:rPr>
          <w:rFonts w:ascii="Times New Roman" w:hAnsi="Times New Roman" w:eastAsia="Times New Roman" w:cs="Times New Roman"/>
          <w:color w:val="000000"/>
          <w:spacing w:val="0"/>
          <w:w w:val="100"/>
          <w:position w:val="0"/>
        </w:rPr>
        <w:t xml:space="preserve">±200 </w:t>
      </w:r>
      <w:r>
        <w:rPr>
          <w:rFonts w:ascii="Times New Roman" w:hAnsi="Times New Roman" w:eastAsia="Times New Roman" w:cs="Times New Roman"/>
          <w:color w:val="000000"/>
          <w:spacing w:val="0"/>
          <w:w w:val="100"/>
          <w:position w:val="0"/>
          <w:lang w:val="en-US" w:eastAsia="en-US" w:bidi="en-US"/>
        </w:rPr>
        <w:t>kg,</w:t>
      </w:r>
      <w:r>
        <w:rPr>
          <w:color w:val="000000"/>
          <w:spacing w:val="0"/>
          <w:w w:val="100"/>
          <w:position w:val="0"/>
        </w:rPr>
        <w:t>且轻型货车的空车质量应小于</w:t>
      </w:r>
      <w:r>
        <w:rPr>
          <w:rFonts w:ascii="Times New Roman" w:hAnsi="Times New Roman" w:eastAsia="Times New Roman" w:cs="Times New Roman"/>
          <w:color w:val="000000"/>
          <w:spacing w:val="0"/>
          <w:w w:val="100"/>
          <w:position w:val="0"/>
        </w:rPr>
        <w:t xml:space="preserve">4 500 </w:t>
      </w:r>
      <w:r>
        <w:rPr>
          <w:rFonts w:ascii="Times New Roman" w:hAnsi="Times New Roman" w:eastAsia="Times New Roman" w:cs="Times New Roman"/>
          <w:color w:val="000000"/>
          <w:spacing w:val="0"/>
          <w:w w:val="100"/>
          <w:position w:val="0"/>
          <w:lang w:val="en-US" w:eastAsia="en-US" w:bidi="en-US"/>
        </w:rPr>
        <w:t>kg</w:t>
      </w:r>
      <w:r>
        <w:rPr>
          <w:color w:val="000000"/>
          <w:spacing w:val="0"/>
          <w:w w:val="100"/>
          <w:position w:val="0"/>
          <w:lang w:val="en-US" w:eastAsia="en-US" w:bidi="en-US"/>
        </w:rPr>
        <w:t>。</w:t>
      </w:r>
      <w:bookmarkStart w:id="0" w:name="_GoBack"/>
      <w:bookmarkEnd w:id="0"/>
    </w:p>
    <w:p>
      <w:pPr>
        <w:spacing w:beforeLines="0" w:afterLines="0"/>
        <w:jc w:val="left"/>
        <w:rPr>
          <w:rFonts w:hint="eastAsia" w:ascii="MicrosoftYaHei" w:hAnsi="MicrosoftYaHei" w:eastAsia="MicrosoftYaHei"/>
          <w:b w:val="0"/>
          <w:bCs/>
          <w:color w:val="auto"/>
          <w:sz w:val="21"/>
          <w:szCs w:val="21"/>
        </w:rPr>
      </w:pPr>
    </w:p>
    <w:p>
      <w:pPr>
        <w:spacing w:beforeLines="0" w:afterLines="0"/>
        <w:jc w:val="left"/>
        <w:rPr>
          <w:rFonts w:hint="eastAsia" w:ascii="STXihei" w:hAnsi="STXihei" w:eastAsia="STXihei"/>
          <w:color w:val="FFFFFF"/>
          <w:sz w:val="48"/>
        </w:rPr>
      </w:pPr>
      <w:r>
        <w:rPr>
          <w:rFonts w:hint="eastAsia" w:ascii="STXihei" w:hAnsi="STXihei" w:eastAsia="STXihei"/>
          <w:color w:val="FFFFFF"/>
          <w:sz w:val="48"/>
        </w:rPr>
        <w:t>02 03 04</w:t>
      </w:r>
    </w:p>
    <w:p>
      <w:pPr>
        <w:spacing w:beforeLines="0" w:afterLines="0"/>
        <w:jc w:val="left"/>
        <w:rPr>
          <w:rFonts w:hint="eastAsia" w:ascii="Arial-BoldMT" w:hAnsi="Arial-BoldMT" w:eastAsia="Arial-BoldMT"/>
          <w:b/>
          <w:color w:val="FFFFFF"/>
          <w:sz w:val="36"/>
        </w:rPr>
      </w:pPr>
      <w:r>
        <w:rPr>
          <w:rFonts w:hint="eastAsia" w:ascii="Arial-BoldMT" w:hAnsi="Arial-BoldMT" w:eastAsia="Arial-BoldMT"/>
          <w:b/>
          <w:color w:val="FFFFFF"/>
          <w:sz w:val="36"/>
        </w:rPr>
        <w:t>4</w:t>
      </w:r>
      <w:r>
        <w:drawing>
          <wp:inline distT="0" distB="0" distL="114300" distR="114300">
            <wp:extent cx="5937885" cy="2616200"/>
            <wp:effectExtent l="0" t="0" r="571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937885" cy="2616200"/>
                    </a:xfrm>
                    <a:prstGeom prst="rect">
                      <a:avLst/>
                    </a:prstGeom>
                    <a:noFill/>
                    <a:ln>
                      <a:noFill/>
                    </a:ln>
                  </pic:spPr>
                </pic:pic>
              </a:graphicData>
            </a:graphic>
          </wp:inline>
        </w:drawing>
      </w:r>
    </w:p>
    <w:p>
      <w:pPr>
        <w:spacing w:beforeLines="0" w:afterLines="0"/>
        <w:jc w:val="left"/>
        <w:rPr>
          <w:rFonts w:hint="eastAsia" w:ascii="MicrosoftYaHei-Bold" w:hAnsi="MicrosoftYaHei-Bold" w:eastAsia="MicrosoftYaHei-Bold"/>
          <w:b/>
          <w:color w:val="00339A"/>
          <w:sz w:val="32"/>
          <w:lang w:val="en-US" w:eastAsia="zh-CN"/>
        </w:rPr>
      </w:pPr>
      <w:r>
        <w:rPr>
          <w:rFonts w:hint="eastAsia" w:ascii="MicrosoftYaHei" w:hAnsi="MicrosoftYaHei" w:eastAsia="MicrosoftYaHei"/>
          <w:color w:val="FFFFFF"/>
          <w:sz w:val="36"/>
        </w:rPr>
        <w:t>新增的技术要求适用车型</w:t>
      </w:r>
    </w:p>
    <w:p>
      <w:pPr>
        <w:spacing w:beforeLines="0" w:afterLines="0"/>
        <w:jc w:val="left"/>
        <w:rPr>
          <w:rFonts w:hint="eastAsia" w:ascii="MicrosoftYaHei" w:hAnsi="MicrosoftYaHei" w:eastAsia="MicrosoftYaHei"/>
          <w:color w:val="FFFFFF"/>
          <w:sz w:val="36"/>
        </w:rPr>
      </w:pPr>
      <w:r>
        <w:rPr>
          <w:rFonts w:hint="eastAsia" w:ascii="MicrosoftYaHei" w:hAnsi="MicrosoftYaHei" w:eastAsia="MicrosoftYaHei"/>
          <w:color w:val="FFFFFF"/>
          <w:sz w:val="36"/>
          <w:lang w:val="en-US" w:eastAsia="zh-CN"/>
        </w:rPr>
        <w:t>3</w:t>
      </w:r>
      <w:r>
        <w:rPr>
          <w:rFonts w:hint="eastAsia" w:ascii="MicrosoftYaHei" w:hAnsi="MicrosoftYaHei" w:eastAsia="MicrosoftYaHei"/>
          <w:color w:val="FFFFFF"/>
          <w:sz w:val="36"/>
        </w:rPr>
        <w:t>新增的技术</w:t>
      </w:r>
    </w:p>
    <w:p>
      <w:pPr>
        <w:spacing w:beforeLines="0" w:afterLines="0"/>
        <w:jc w:val="left"/>
        <w:rPr>
          <w:rFonts w:hint="eastAsia" w:ascii="MicrosoftYaHei" w:hAnsi="MicrosoftYaHei" w:eastAsia="MicrosoftYaHei"/>
          <w:color w:val="FFFFFF"/>
          <w:sz w:val="36"/>
        </w:rPr>
      </w:pPr>
    </w:p>
    <w:p>
      <w:pPr>
        <w:spacing w:beforeLines="0" w:afterLines="0"/>
        <w:jc w:val="left"/>
        <w:rPr>
          <w:rFonts w:hint="eastAsia" w:ascii="MicrosoftYaHei" w:hAnsi="MicrosoftYaHei" w:eastAsia="MicrosoftYaHei"/>
          <w:color w:val="FFFFFF"/>
          <w:sz w:val="36"/>
        </w:rPr>
      </w:pPr>
    </w:p>
    <w:p>
      <w:pPr>
        <w:spacing w:beforeLines="0" w:afterLines="0"/>
        <w:jc w:val="left"/>
        <w:rPr>
          <w:rFonts w:hint="eastAsia" w:ascii="MicrosoftYaHei" w:hAnsi="MicrosoftYaHei" w:eastAsia="MicrosoftYaHei"/>
          <w:color w:val="FFFFFF"/>
          <w:sz w:val="36"/>
        </w:rPr>
      </w:pPr>
    </w:p>
    <w:p>
      <w:pPr>
        <w:spacing w:beforeLines="0" w:afterLines="0"/>
        <w:jc w:val="left"/>
        <w:rPr>
          <w:rFonts w:hint="eastAsia" w:ascii="MicrosoftYaHei" w:hAnsi="MicrosoftYaHei" w:eastAsia="MicrosoftYaHei"/>
          <w:color w:val="FFFFFF"/>
          <w:sz w:val="36"/>
        </w:rPr>
      </w:pPr>
    </w:p>
    <w:p>
      <w:pPr>
        <w:spacing w:beforeLines="0" w:afterLines="0"/>
        <w:jc w:val="left"/>
        <w:rPr>
          <w:rFonts w:hint="eastAsia" w:ascii="MicrosoftYaHei" w:hAnsi="MicrosoftYaHei" w:eastAsia="MicrosoftYaHei"/>
          <w:color w:val="FFFFFF"/>
          <w:sz w:val="36"/>
        </w:rPr>
      </w:pPr>
    </w:p>
    <w:p>
      <w:pPr>
        <w:pStyle w:val="11"/>
        <w:tabs>
          <w:tab w:val="clear" w:pos="720"/>
        </w:tabs>
        <w:spacing w:before="156" w:after="156"/>
        <w:ind w:left="0" w:firstLine="0"/>
        <w:jc w:val="left"/>
        <w:rPr>
          <w:rFonts w:hint="eastAsia" w:hAnsi="黑体"/>
          <w:kern w:val="2"/>
          <w:szCs w:val="24"/>
        </w:rPr>
      </w:pPr>
      <w:r>
        <w:rPr>
          <w:rFonts w:hint="eastAsia" w:hAnsi="黑体"/>
          <w:kern w:val="2"/>
          <w:sz w:val="30"/>
          <w:szCs w:val="30"/>
          <w:lang w:eastAsia="zh-CN"/>
        </w:rPr>
        <w:t>附：</w:t>
      </w:r>
      <w:r>
        <w:rPr>
          <w:rFonts w:hint="eastAsia" w:hAnsi="黑体"/>
          <w:sz w:val="30"/>
          <w:szCs w:val="30"/>
        </w:rPr>
        <w:t>机动车安全技术检验项目表</w:t>
      </w:r>
    </w:p>
    <w:p>
      <w:pPr>
        <w:pStyle w:val="11"/>
        <w:tabs>
          <w:tab w:val="clear" w:pos="720"/>
        </w:tabs>
        <w:spacing w:before="156" w:after="156"/>
        <w:ind w:left="0" w:firstLine="0"/>
        <w:rPr>
          <w:rFonts w:hint="eastAsia" w:hAnsi="黑体" w:eastAsiaTheme="minorEastAsia"/>
        </w:rPr>
      </w:pPr>
      <w:r>
        <w:rPr>
          <w:rFonts w:hint="eastAsia" w:hAnsi="黑体"/>
          <w:kern w:val="2"/>
          <w:szCs w:val="24"/>
        </w:rPr>
        <w:t xml:space="preserve">表1  </w:t>
      </w:r>
      <w:r>
        <w:rPr>
          <w:rFonts w:hint="eastAsia" w:hAnsi="黑体"/>
        </w:rPr>
        <w:t>机动车安全技术检验项目表</w:t>
      </w:r>
      <w:r>
        <w:rPr>
          <w:rFonts w:hint="eastAsia" w:hAnsi="黑体" w:eastAsiaTheme="minorEastAsia"/>
        </w:rPr>
        <w:t>（在用机动车安全检验）</w:t>
      </w:r>
    </w:p>
    <w:tbl>
      <w:tblPr>
        <w:tblStyle w:val="4"/>
        <w:tblW w:w="101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100"/>
        <w:gridCol w:w="2838"/>
        <w:gridCol w:w="1143"/>
        <w:gridCol w:w="870"/>
        <w:gridCol w:w="1102"/>
        <w:gridCol w:w="656"/>
        <w:gridCol w:w="849"/>
        <w:gridCol w:w="8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00" w:type="dxa"/>
            <w:vMerge w:val="restart"/>
            <w:vAlign w:val="center"/>
          </w:tcPr>
          <w:p>
            <w:pPr>
              <w:pStyle w:val="8"/>
              <w:widowControl w:val="0"/>
              <w:adjustRightInd w:val="0"/>
              <w:snapToGrid w:val="0"/>
              <w:ind w:firstLine="0" w:firstLineChars="0"/>
              <w:jc w:val="center"/>
              <w:rPr>
                <w:rFonts w:ascii="Times New Roman"/>
              </w:rPr>
            </w:pPr>
            <w:r>
              <w:rPr>
                <w:rFonts w:ascii="Times New Roman"/>
              </w:rPr>
              <w:t>序号</w:t>
            </w:r>
          </w:p>
        </w:tc>
        <w:tc>
          <w:tcPr>
            <w:tcW w:w="3938" w:type="dxa"/>
            <w:gridSpan w:val="2"/>
            <w:vMerge w:val="restart"/>
            <w:vAlign w:val="center"/>
          </w:tcPr>
          <w:p>
            <w:pPr>
              <w:pStyle w:val="8"/>
              <w:widowControl w:val="0"/>
              <w:adjustRightInd w:val="0"/>
              <w:snapToGrid w:val="0"/>
              <w:ind w:firstLine="0" w:firstLineChars="0"/>
              <w:jc w:val="center"/>
              <w:rPr>
                <w:rFonts w:ascii="Times New Roman"/>
              </w:rPr>
            </w:pPr>
            <w:r>
              <w:rPr>
                <w:rFonts w:ascii="Times New Roman"/>
              </w:rPr>
              <w:t>检 验 项 目</w:t>
            </w:r>
          </w:p>
        </w:tc>
        <w:tc>
          <w:tcPr>
            <w:tcW w:w="5479" w:type="dxa"/>
            <w:gridSpan w:val="6"/>
            <w:vAlign w:val="center"/>
          </w:tcPr>
          <w:p>
            <w:pPr>
              <w:pStyle w:val="8"/>
              <w:widowControl w:val="0"/>
              <w:adjustRightInd w:val="0"/>
              <w:snapToGrid w:val="0"/>
              <w:ind w:firstLine="0" w:firstLineChars="0"/>
              <w:jc w:val="center"/>
              <w:rPr>
                <w:rFonts w:ascii="Times New Roman"/>
              </w:rPr>
            </w:pPr>
            <w:r>
              <w:rPr>
                <w:rFonts w:ascii="Times New Roman"/>
              </w:rPr>
              <w:t>适用</w:t>
            </w:r>
            <w:r>
              <w:rPr>
                <w:rFonts w:hint="eastAsia" w:ascii="Times New Roman"/>
              </w:rPr>
              <w:t>车辆类型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3938" w:type="dxa"/>
            <w:gridSpan w:val="2"/>
            <w:vMerge w:val="continue"/>
            <w:vAlign w:val="center"/>
          </w:tcPr>
          <w:p>
            <w:pPr>
              <w:pStyle w:val="8"/>
              <w:widowControl w:val="0"/>
              <w:adjustRightInd w:val="0"/>
              <w:snapToGrid w:val="0"/>
              <w:jc w:val="center"/>
              <w:rPr>
                <w:rFonts w:ascii="Times New Roman"/>
              </w:rPr>
            </w:pPr>
          </w:p>
        </w:tc>
        <w:tc>
          <w:tcPr>
            <w:tcW w:w="2013" w:type="dxa"/>
            <w:gridSpan w:val="2"/>
            <w:shd w:val="clear" w:color="auto" w:fill="auto"/>
            <w:vAlign w:val="center"/>
          </w:tcPr>
          <w:p>
            <w:pPr>
              <w:pStyle w:val="8"/>
              <w:widowControl w:val="0"/>
              <w:adjustRightInd w:val="0"/>
              <w:snapToGrid w:val="0"/>
              <w:ind w:left="-59" w:leftChars="-28" w:firstLine="0" w:firstLineChars="0"/>
              <w:jc w:val="center"/>
              <w:rPr>
                <w:rFonts w:ascii="Times New Roman"/>
              </w:rPr>
            </w:pPr>
            <w:r>
              <w:rPr>
                <w:rFonts w:ascii="Times New Roman"/>
              </w:rPr>
              <w:t>载客汽车</w:t>
            </w:r>
          </w:p>
        </w:tc>
        <w:tc>
          <w:tcPr>
            <w:tcW w:w="1102" w:type="dxa"/>
            <w:vMerge w:val="restart"/>
            <w:shd w:val="clear" w:color="auto" w:fill="auto"/>
            <w:vAlign w:val="center"/>
          </w:tcPr>
          <w:p>
            <w:pPr>
              <w:pStyle w:val="8"/>
              <w:widowControl w:val="0"/>
              <w:adjustRightInd w:val="0"/>
              <w:snapToGrid w:val="0"/>
              <w:ind w:left="-103" w:leftChars="-49" w:right="-94" w:rightChars="-45" w:firstLine="0" w:firstLineChars="0"/>
              <w:jc w:val="center"/>
              <w:rPr>
                <w:rFonts w:ascii="Times New Roman"/>
              </w:rPr>
            </w:pPr>
            <w:r>
              <w:rPr>
                <w:rFonts w:ascii="Times New Roman"/>
              </w:rPr>
              <w:t>载货汽车（三轮汽车除外）、专项作业车</w:t>
            </w:r>
          </w:p>
        </w:tc>
        <w:tc>
          <w:tcPr>
            <w:tcW w:w="656" w:type="dxa"/>
            <w:vMerge w:val="restart"/>
            <w:shd w:val="clear" w:color="auto" w:fill="auto"/>
            <w:vAlign w:val="center"/>
          </w:tcPr>
          <w:p>
            <w:pPr>
              <w:pStyle w:val="8"/>
              <w:widowControl w:val="0"/>
              <w:adjustRightInd w:val="0"/>
              <w:snapToGrid w:val="0"/>
              <w:ind w:firstLine="0" w:firstLineChars="0"/>
              <w:jc w:val="center"/>
              <w:rPr>
                <w:rFonts w:ascii="Times New Roman"/>
              </w:rPr>
            </w:pPr>
            <w:r>
              <w:rPr>
                <w:rFonts w:ascii="Times New Roman"/>
              </w:rPr>
              <w:t>挂车</w:t>
            </w:r>
          </w:p>
        </w:tc>
        <w:tc>
          <w:tcPr>
            <w:tcW w:w="849" w:type="dxa"/>
            <w:vMerge w:val="restart"/>
            <w:vAlign w:val="center"/>
          </w:tcPr>
          <w:p>
            <w:pPr>
              <w:pStyle w:val="8"/>
              <w:widowControl w:val="0"/>
              <w:adjustRightInd w:val="0"/>
              <w:snapToGrid w:val="0"/>
              <w:ind w:firstLine="0" w:firstLineChars="0"/>
              <w:jc w:val="center"/>
              <w:rPr>
                <w:rFonts w:ascii="Times New Roman"/>
              </w:rPr>
            </w:pPr>
            <w:r>
              <w:rPr>
                <w:rFonts w:ascii="Times New Roman"/>
              </w:rPr>
              <w:t>三轮</w:t>
            </w:r>
          </w:p>
          <w:p>
            <w:pPr>
              <w:pStyle w:val="8"/>
              <w:widowControl w:val="0"/>
              <w:adjustRightInd w:val="0"/>
              <w:snapToGrid w:val="0"/>
              <w:ind w:firstLine="0" w:firstLineChars="0"/>
              <w:jc w:val="center"/>
              <w:rPr>
                <w:rFonts w:ascii="Times New Roman"/>
              </w:rPr>
            </w:pPr>
            <w:r>
              <w:rPr>
                <w:rFonts w:ascii="Times New Roman"/>
              </w:rPr>
              <w:t>汽车</w:t>
            </w:r>
          </w:p>
        </w:tc>
        <w:tc>
          <w:tcPr>
            <w:tcW w:w="859" w:type="dxa"/>
            <w:vMerge w:val="restart"/>
            <w:shd w:val="clear" w:color="auto" w:fill="auto"/>
            <w:vAlign w:val="center"/>
          </w:tcPr>
          <w:p>
            <w:pPr>
              <w:pStyle w:val="8"/>
              <w:widowControl w:val="0"/>
              <w:adjustRightInd w:val="0"/>
              <w:snapToGrid w:val="0"/>
              <w:ind w:firstLine="0" w:firstLineChars="0"/>
              <w:jc w:val="center"/>
              <w:rPr>
                <w:rFonts w:ascii="Times New Roman"/>
              </w:rPr>
            </w:pPr>
            <w:r>
              <w:rPr>
                <w:rFonts w:ascii="Times New Roman"/>
              </w:rPr>
              <w:t>摩托车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0" w:type="dxa"/>
            <w:vMerge w:val="continue"/>
            <w:tcBorders>
              <w:bottom w:val="single" w:color="auto" w:sz="4" w:space="0"/>
            </w:tcBorders>
            <w:vAlign w:val="center"/>
          </w:tcPr>
          <w:p>
            <w:pPr>
              <w:pStyle w:val="8"/>
              <w:widowControl w:val="0"/>
              <w:adjustRightInd w:val="0"/>
              <w:snapToGrid w:val="0"/>
              <w:ind w:firstLine="0" w:firstLineChars="0"/>
              <w:jc w:val="center"/>
              <w:rPr>
                <w:rFonts w:ascii="Times New Roman"/>
                <w:b/>
              </w:rPr>
            </w:pPr>
          </w:p>
        </w:tc>
        <w:tc>
          <w:tcPr>
            <w:tcW w:w="3938" w:type="dxa"/>
            <w:gridSpan w:val="2"/>
            <w:vMerge w:val="continue"/>
            <w:tcBorders>
              <w:bottom w:val="single" w:color="auto" w:sz="4" w:space="0"/>
            </w:tcBorders>
            <w:vAlign w:val="center"/>
          </w:tcPr>
          <w:p>
            <w:pPr>
              <w:pStyle w:val="8"/>
              <w:widowControl w:val="0"/>
              <w:adjustRightInd w:val="0"/>
              <w:snapToGrid w:val="0"/>
              <w:ind w:firstLine="422" w:firstLineChars="0"/>
              <w:jc w:val="center"/>
              <w:rPr>
                <w:rFonts w:ascii="Times New Roman"/>
              </w:rPr>
            </w:pPr>
          </w:p>
        </w:tc>
        <w:tc>
          <w:tcPr>
            <w:tcW w:w="1143" w:type="dxa"/>
            <w:shd w:val="clear" w:color="auto" w:fill="auto"/>
            <w:vAlign w:val="center"/>
          </w:tcPr>
          <w:p>
            <w:pPr>
              <w:pStyle w:val="8"/>
              <w:widowControl w:val="0"/>
              <w:adjustRightInd w:val="0"/>
              <w:snapToGrid w:val="0"/>
              <w:ind w:left="-103" w:leftChars="-49" w:right="-94" w:rightChars="-45" w:firstLine="0" w:firstLineChars="0"/>
              <w:jc w:val="center"/>
              <w:rPr>
                <w:rFonts w:ascii="Times New Roman" w:eastAsiaTheme="minorEastAsia"/>
              </w:rPr>
            </w:pPr>
            <w:r>
              <w:rPr>
                <w:rFonts w:ascii="Times New Roman"/>
              </w:rPr>
              <w:t>非营运</w:t>
            </w:r>
            <w:r>
              <w:rPr>
                <w:rFonts w:hint="eastAsia" w:ascii="Times New Roman" w:eastAsiaTheme="minorEastAsia"/>
                <w:sz w:val="28"/>
                <w:szCs w:val="28"/>
                <w:vertAlign w:val="superscript"/>
              </w:rPr>
              <w:t>a</w:t>
            </w:r>
          </w:p>
          <w:p>
            <w:pPr>
              <w:pStyle w:val="8"/>
              <w:widowControl w:val="0"/>
              <w:adjustRightInd w:val="0"/>
              <w:snapToGrid w:val="0"/>
              <w:ind w:left="-103" w:leftChars="-49" w:right="-94" w:rightChars="-45" w:firstLine="0" w:firstLineChars="0"/>
              <w:jc w:val="center"/>
              <w:rPr>
                <w:rFonts w:ascii="Times New Roman"/>
                <w:b/>
              </w:rPr>
            </w:pPr>
            <w:r>
              <w:rPr>
                <w:rFonts w:ascii="Times New Roman"/>
              </w:rPr>
              <w:t>小型、微型载客汽车</w:t>
            </w:r>
          </w:p>
        </w:tc>
        <w:tc>
          <w:tcPr>
            <w:tcW w:w="870" w:type="dxa"/>
            <w:shd w:val="clear" w:color="auto" w:fill="auto"/>
            <w:vAlign w:val="center"/>
          </w:tcPr>
          <w:p>
            <w:pPr>
              <w:pStyle w:val="8"/>
              <w:widowControl w:val="0"/>
              <w:adjustRightInd w:val="0"/>
              <w:snapToGrid w:val="0"/>
              <w:ind w:left="-59" w:leftChars="-28" w:firstLine="0" w:firstLineChars="0"/>
              <w:jc w:val="center"/>
              <w:rPr>
                <w:rFonts w:ascii="Times New Roman"/>
              </w:rPr>
            </w:pPr>
            <w:r>
              <w:rPr>
                <w:rFonts w:ascii="Times New Roman"/>
              </w:rPr>
              <w:t>其它类型载客汽车</w:t>
            </w:r>
          </w:p>
        </w:tc>
        <w:tc>
          <w:tcPr>
            <w:tcW w:w="1102" w:type="dxa"/>
            <w:vMerge w:val="continue"/>
            <w:shd w:val="clear" w:color="auto" w:fill="auto"/>
            <w:vAlign w:val="center"/>
          </w:tcPr>
          <w:p>
            <w:pPr>
              <w:pStyle w:val="8"/>
              <w:widowControl w:val="0"/>
              <w:adjustRightInd w:val="0"/>
              <w:snapToGrid w:val="0"/>
              <w:ind w:left="-59" w:leftChars="-28" w:firstLine="0" w:firstLineChars="0"/>
              <w:jc w:val="center"/>
              <w:rPr>
                <w:rFonts w:ascii="Times New Roman"/>
              </w:rPr>
            </w:pPr>
          </w:p>
        </w:tc>
        <w:tc>
          <w:tcPr>
            <w:tcW w:w="656" w:type="dxa"/>
            <w:vMerge w:val="continue"/>
            <w:shd w:val="clear" w:color="auto" w:fill="auto"/>
            <w:vAlign w:val="center"/>
          </w:tcPr>
          <w:p>
            <w:pPr>
              <w:pStyle w:val="8"/>
              <w:widowControl w:val="0"/>
              <w:adjustRightInd w:val="0"/>
              <w:snapToGrid w:val="0"/>
              <w:ind w:firstLine="0" w:firstLineChars="0"/>
              <w:jc w:val="center"/>
              <w:rPr>
                <w:rFonts w:ascii="Times New Roman"/>
              </w:rPr>
            </w:pPr>
          </w:p>
        </w:tc>
        <w:tc>
          <w:tcPr>
            <w:tcW w:w="849" w:type="dxa"/>
            <w:vMerge w:val="continue"/>
          </w:tcPr>
          <w:p>
            <w:pPr>
              <w:pStyle w:val="8"/>
              <w:widowControl w:val="0"/>
              <w:adjustRightInd w:val="0"/>
              <w:snapToGrid w:val="0"/>
              <w:ind w:firstLine="0" w:firstLineChars="0"/>
              <w:jc w:val="center"/>
              <w:rPr>
                <w:rFonts w:ascii="Times New Roman"/>
              </w:rPr>
            </w:pPr>
          </w:p>
        </w:tc>
        <w:tc>
          <w:tcPr>
            <w:tcW w:w="859" w:type="dxa"/>
            <w:vMerge w:val="continue"/>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700" w:type="dxa"/>
            <w:vAlign w:val="center"/>
          </w:tcPr>
          <w:p>
            <w:pPr>
              <w:pStyle w:val="8"/>
              <w:widowControl w:val="0"/>
              <w:adjustRightInd w:val="0"/>
              <w:snapToGrid w:val="0"/>
              <w:ind w:firstLine="0" w:firstLineChars="0"/>
              <w:jc w:val="center"/>
              <w:rPr>
                <w:rFonts w:ascii="Times New Roman"/>
              </w:rPr>
            </w:pPr>
            <w:r>
              <w:rPr>
                <w:rFonts w:hint="eastAsia" w:ascii="Times New Roman"/>
              </w:rPr>
              <w:t>1</w:t>
            </w:r>
          </w:p>
        </w:tc>
        <w:tc>
          <w:tcPr>
            <w:tcW w:w="1100" w:type="dxa"/>
            <w:vAlign w:val="center"/>
          </w:tcPr>
          <w:p>
            <w:pPr>
              <w:pStyle w:val="8"/>
              <w:widowControl w:val="0"/>
              <w:adjustRightInd w:val="0"/>
              <w:snapToGrid w:val="0"/>
              <w:ind w:firstLine="0" w:firstLineChars="0"/>
              <w:rPr>
                <w:rFonts w:ascii="Times New Roman"/>
              </w:rPr>
            </w:pPr>
            <w:r>
              <w:rPr>
                <w:rFonts w:ascii="Times New Roman"/>
              </w:rPr>
              <w:t>联网查询</w:t>
            </w:r>
          </w:p>
        </w:tc>
        <w:tc>
          <w:tcPr>
            <w:tcW w:w="2838" w:type="dxa"/>
            <w:vAlign w:val="center"/>
          </w:tcPr>
          <w:p>
            <w:pPr>
              <w:pStyle w:val="8"/>
              <w:widowControl w:val="0"/>
              <w:adjustRightInd w:val="0"/>
              <w:snapToGrid w:val="0"/>
              <w:ind w:firstLine="0" w:firstLineChars="0"/>
              <w:jc w:val="left"/>
              <w:rPr>
                <w:rFonts w:ascii="Times New Roman" w:eastAsiaTheme="minorEastAsia"/>
              </w:rPr>
            </w:pPr>
            <w:r>
              <w:rPr>
                <w:rFonts w:hint="eastAsia" w:ascii="Times New Roman" w:eastAsiaTheme="minorEastAsia"/>
              </w:rPr>
              <w:t>车辆事故、违法、安全缺陷召回等信息</w:t>
            </w:r>
          </w:p>
        </w:tc>
        <w:tc>
          <w:tcPr>
            <w:tcW w:w="1143"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7" w:hRule="exact"/>
          <w:jc w:val="center"/>
        </w:trPr>
        <w:tc>
          <w:tcPr>
            <w:tcW w:w="700" w:type="dxa"/>
            <w:vMerge w:val="restart"/>
            <w:vAlign w:val="center"/>
          </w:tcPr>
          <w:p>
            <w:pPr>
              <w:pStyle w:val="8"/>
              <w:widowControl w:val="0"/>
              <w:adjustRightInd w:val="0"/>
              <w:snapToGrid w:val="0"/>
              <w:ind w:firstLine="210" w:firstLineChars="100"/>
              <w:rPr>
                <w:rFonts w:ascii="Times New Roman"/>
              </w:rPr>
            </w:pPr>
            <w:r>
              <w:rPr>
                <w:rFonts w:ascii="Times New Roman"/>
              </w:rPr>
              <w:t>2</w:t>
            </w:r>
          </w:p>
        </w:tc>
        <w:tc>
          <w:tcPr>
            <w:tcW w:w="1100" w:type="dxa"/>
            <w:vMerge w:val="restart"/>
            <w:vAlign w:val="center"/>
          </w:tcPr>
          <w:p>
            <w:pPr>
              <w:pStyle w:val="8"/>
              <w:widowControl w:val="0"/>
              <w:adjustRightInd w:val="0"/>
              <w:snapToGrid w:val="0"/>
              <w:ind w:firstLine="0" w:firstLineChars="0"/>
              <w:rPr>
                <w:rFonts w:ascii="Times New Roman"/>
              </w:rPr>
            </w:pPr>
            <w:r>
              <w:rPr>
                <w:rFonts w:ascii="Times New Roman"/>
              </w:rPr>
              <w:t>车辆唯一性检查</w:t>
            </w:r>
          </w:p>
        </w:tc>
        <w:tc>
          <w:tcPr>
            <w:tcW w:w="2838" w:type="dxa"/>
            <w:vAlign w:val="center"/>
          </w:tcPr>
          <w:p>
            <w:pPr>
              <w:pStyle w:val="8"/>
              <w:widowControl w:val="0"/>
              <w:adjustRightInd w:val="0"/>
              <w:snapToGrid w:val="0"/>
              <w:ind w:firstLine="0" w:firstLineChars="0"/>
              <w:jc w:val="left"/>
              <w:rPr>
                <w:rFonts w:ascii="Times New Roman"/>
              </w:rPr>
            </w:pPr>
            <w:r>
              <w:rPr>
                <w:rFonts w:ascii="Times New Roman"/>
              </w:rPr>
              <w:t>号牌号码/车辆类型</w:t>
            </w:r>
          </w:p>
        </w:tc>
        <w:tc>
          <w:tcPr>
            <w:tcW w:w="1143"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8" w:hRule="exact"/>
          <w:jc w:val="center"/>
        </w:trPr>
        <w:tc>
          <w:tcPr>
            <w:tcW w:w="700" w:type="dxa"/>
            <w:vMerge w:val="continue"/>
            <w:vAlign w:val="center"/>
          </w:tcPr>
          <w:p>
            <w:pPr>
              <w:pStyle w:val="8"/>
              <w:widowControl w:val="0"/>
              <w:adjustRightInd w:val="0"/>
              <w:snapToGrid w:val="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jc w:val="left"/>
              <w:rPr>
                <w:rFonts w:ascii="Times New Roman"/>
              </w:rPr>
            </w:pPr>
            <w:r>
              <w:rPr>
                <w:rFonts w:ascii="Times New Roman"/>
              </w:rPr>
              <w:t>车辆品牌/型号</w:t>
            </w:r>
          </w:p>
        </w:tc>
        <w:tc>
          <w:tcPr>
            <w:tcW w:w="1143"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exact"/>
          <w:jc w:val="center"/>
        </w:trPr>
        <w:tc>
          <w:tcPr>
            <w:tcW w:w="700" w:type="dxa"/>
            <w:vMerge w:val="continue"/>
            <w:vAlign w:val="center"/>
          </w:tcPr>
          <w:p>
            <w:pPr>
              <w:pStyle w:val="8"/>
              <w:widowControl w:val="0"/>
              <w:adjustRightInd w:val="0"/>
              <w:snapToGrid w:val="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jc w:val="left"/>
              <w:rPr>
                <w:rFonts w:ascii="Times New Roman"/>
              </w:rPr>
            </w:pPr>
            <w:r>
              <w:rPr>
                <w:rFonts w:ascii="Times New Roman"/>
              </w:rPr>
              <w:t>车辆识别代号（或整车出厂编号）</w:t>
            </w:r>
          </w:p>
        </w:tc>
        <w:tc>
          <w:tcPr>
            <w:tcW w:w="1143"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700" w:type="dxa"/>
            <w:vMerge w:val="continue"/>
            <w:vAlign w:val="center"/>
          </w:tcPr>
          <w:p>
            <w:pPr>
              <w:pStyle w:val="8"/>
              <w:widowControl w:val="0"/>
              <w:adjustRightInd w:val="0"/>
              <w:snapToGrid w:val="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jc w:val="left"/>
              <w:rPr>
                <w:rFonts w:ascii="Times New Roman"/>
              </w:rPr>
            </w:pPr>
            <w:r>
              <w:rPr>
                <w:rFonts w:ascii="Times New Roman"/>
              </w:rPr>
              <w:t>发动机号码（或电动机号码）</w:t>
            </w:r>
          </w:p>
        </w:tc>
        <w:tc>
          <w:tcPr>
            <w:tcW w:w="1143"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left"/>
              <w:rPr>
                <w:rFonts w:ascii="Times New Roman"/>
              </w:rPr>
            </w:pPr>
          </w:p>
        </w:tc>
        <w:tc>
          <w:tcPr>
            <w:tcW w:w="2838" w:type="dxa"/>
            <w:vAlign w:val="center"/>
          </w:tcPr>
          <w:p>
            <w:pPr>
              <w:pStyle w:val="8"/>
              <w:widowControl w:val="0"/>
              <w:adjustRightInd w:val="0"/>
              <w:snapToGrid w:val="0"/>
              <w:ind w:firstLine="0" w:firstLineChars="0"/>
              <w:jc w:val="left"/>
              <w:rPr>
                <w:rFonts w:ascii="Times New Roman"/>
              </w:rPr>
            </w:pPr>
            <w:r>
              <w:rPr>
                <w:rFonts w:ascii="Times New Roman"/>
              </w:rPr>
              <w:t>车辆颜色和外形</w:t>
            </w:r>
          </w:p>
        </w:tc>
        <w:tc>
          <w:tcPr>
            <w:tcW w:w="1143"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restart"/>
            <w:vAlign w:val="center"/>
          </w:tcPr>
          <w:p>
            <w:pPr>
              <w:pStyle w:val="8"/>
              <w:widowControl w:val="0"/>
              <w:adjustRightInd w:val="0"/>
              <w:snapToGrid w:val="0"/>
              <w:ind w:firstLine="0" w:firstLineChars="0"/>
              <w:jc w:val="center"/>
              <w:rPr>
                <w:rFonts w:ascii="Times New Roman"/>
              </w:rPr>
            </w:pPr>
            <w:r>
              <w:rPr>
                <w:rFonts w:ascii="Times New Roman"/>
              </w:rPr>
              <w:t>3</w:t>
            </w:r>
          </w:p>
        </w:tc>
        <w:tc>
          <w:tcPr>
            <w:tcW w:w="1100" w:type="dxa"/>
            <w:vMerge w:val="restart"/>
            <w:vAlign w:val="center"/>
          </w:tcPr>
          <w:p>
            <w:pPr>
              <w:pStyle w:val="8"/>
              <w:widowControl w:val="0"/>
              <w:adjustRightInd w:val="0"/>
              <w:snapToGrid w:val="0"/>
              <w:ind w:firstLine="0" w:firstLineChars="0"/>
              <w:jc w:val="center"/>
              <w:rPr>
                <w:rFonts w:ascii="Times New Roman"/>
              </w:rPr>
            </w:pPr>
            <w:r>
              <w:rPr>
                <w:rFonts w:ascii="Times New Roman"/>
              </w:rPr>
              <w:t>车辆特征参数检查</w:t>
            </w:r>
          </w:p>
        </w:tc>
        <w:tc>
          <w:tcPr>
            <w:tcW w:w="2838" w:type="dxa"/>
            <w:vAlign w:val="center"/>
          </w:tcPr>
          <w:p>
            <w:pPr>
              <w:pStyle w:val="8"/>
              <w:widowControl w:val="0"/>
              <w:adjustRightInd w:val="0"/>
              <w:snapToGrid w:val="0"/>
              <w:ind w:firstLine="0" w:firstLineChars="0"/>
              <w:jc w:val="left"/>
              <w:rPr>
                <w:rFonts w:ascii="Times New Roman"/>
              </w:rPr>
            </w:pPr>
            <w:r>
              <w:rPr>
                <w:rFonts w:ascii="Times New Roman"/>
              </w:rPr>
              <w:t>外廓尺寸</w:t>
            </w:r>
          </w:p>
        </w:tc>
        <w:tc>
          <w:tcPr>
            <w:tcW w:w="1143" w:type="dxa"/>
            <w:vAlign w:val="center"/>
          </w:tcPr>
          <w:p>
            <w:pPr>
              <w:pStyle w:val="8"/>
              <w:widowControl w:val="0"/>
              <w:adjustRightInd w:val="0"/>
              <w:snapToGrid w:val="0"/>
              <w:ind w:firstLine="0" w:firstLineChars="0"/>
              <w:jc w:val="center"/>
              <w:rPr>
                <w:rFonts w:ascii="Times New Roman"/>
              </w:rPr>
            </w:pPr>
          </w:p>
        </w:tc>
        <w:tc>
          <w:tcPr>
            <w:tcW w:w="870" w:type="dxa"/>
            <w:vAlign w:val="center"/>
          </w:tcPr>
          <w:p>
            <w:pPr>
              <w:pStyle w:val="8"/>
              <w:widowControl w:val="0"/>
              <w:adjustRightInd w:val="0"/>
              <w:snapToGrid w:val="0"/>
              <w:ind w:firstLine="0" w:firstLineChars="0"/>
              <w:jc w:val="center"/>
              <w:rPr>
                <w:rFonts w:ascii="Times New Roman"/>
              </w:rPr>
            </w:pP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vAlign w:val="center"/>
          </w:tcPr>
          <w:p>
            <w:pPr>
              <w:adjustRightInd w:val="0"/>
              <w:snapToGrid w:val="0"/>
              <w:jc w:val="center"/>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jc w:val="left"/>
              <w:rPr>
                <w:rFonts w:ascii="Times New Roman" w:eastAsiaTheme="minorEastAsia"/>
              </w:rPr>
            </w:pPr>
            <w:r>
              <w:rPr>
                <w:rFonts w:ascii="Times New Roman"/>
              </w:rPr>
              <w:t>核定载人数</w:t>
            </w:r>
            <w:r>
              <w:rPr>
                <w:rFonts w:hint="eastAsia" w:ascii="Times New Roman" w:eastAsiaTheme="minorEastAsia"/>
              </w:rPr>
              <w:t>和座椅布置</w:t>
            </w:r>
          </w:p>
        </w:tc>
        <w:tc>
          <w:tcPr>
            <w:tcW w:w="1143"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vAlign w:val="center"/>
          </w:tcPr>
          <w:p>
            <w:pPr>
              <w:adjustRightInd w:val="0"/>
              <w:snapToGrid w:val="0"/>
              <w:jc w:val="center"/>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jc w:val="left"/>
              <w:rPr>
                <w:rFonts w:ascii="Times New Roman"/>
              </w:rPr>
            </w:pPr>
            <w:r>
              <w:rPr>
                <w:rFonts w:ascii="Times New Roman"/>
              </w:rPr>
              <w:t>栏板高度</w:t>
            </w:r>
          </w:p>
        </w:tc>
        <w:tc>
          <w:tcPr>
            <w:tcW w:w="1143" w:type="dxa"/>
            <w:vAlign w:val="center"/>
          </w:tcPr>
          <w:p>
            <w:pPr>
              <w:pStyle w:val="8"/>
              <w:widowControl w:val="0"/>
              <w:adjustRightInd w:val="0"/>
              <w:snapToGrid w:val="0"/>
              <w:ind w:firstLine="0" w:firstLineChars="0"/>
              <w:jc w:val="center"/>
              <w:rPr>
                <w:rFonts w:ascii="Times New Roman"/>
              </w:rPr>
            </w:pPr>
          </w:p>
        </w:tc>
        <w:tc>
          <w:tcPr>
            <w:tcW w:w="870" w:type="dxa"/>
            <w:vAlign w:val="center"/>
          </w:tcPr>
          <w:p>
            <w:pPr>
              <w:pStyle w:val="8"/>
              <w:widowControl w:val="0"/>
              <w:adjustRightInd w:val="0"/>
              <w:snapToGrid w:val="0"/>
              <w:ind w:firstLine="0" w:firstLineChars="0"/>
              <w:jc w:val="center"/>
              <w:rPr>
                <w:rFonts w:ascii="Times New Roman"/>
              </w:rPr>
            </w:pP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vAlign w:val="center"/>
          </w:tcPr>
          <w:p>
            <w:pPr>
              <w:pStyle w:val="8"/>
              <w:widowControl w:val="0"/>
              <w:adjustRightInd w:val="0"/>
              <w:snapToGrid w:val="0"/>
              <w:ind w:firstLine="0" w:firstLineChars="0"/>
              <w:jc w:val="center"/>
              <w:rPr>
                <w:rFonts w:ascii="Times New Roman"/>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jc w:val="left"/>
              <w:rPr>
                <w:rFonts w:ascii="Times New Roman" w:eastAsiaTheme="minorEastAsia"/>
              </w:rPr>
            </w:pPr>
            <w:r>
              <w:rPr>
                <w:rFonts w:hint="eastAsia" w:ascii="Times New Roman" w:eastAsiaTheme="minorEastAsia"/>
              </w:rPr>
              <w:t>悬架</w:t>
            </w:r>
          </w:p>
        </w:tc>
        <w:tc>
          <w:tcPr>
            <w:tcW w:w="1143" w:type="dxa"/>
            <w:vAlign w:val="center"/>
          </w:tcPr>
          <w:p>
            <w:pPr>
              <w:pStyle w:val="8"/>
              <w:widowControl w:val="0"/>
              <w:adjustRightInd w:val="0"/>
              <w:snapToGrid w:val="0"/>
              <w:ind w:firstLine="0" w:firstLineChars="0"/>
              <w:jc w:val="center"/>
              <w:rPr>
                <w:rFonts w:ascii="Times New Roman"/>
              </w:rPr>
            </w:pPr>
          </w:p>
        </w:tc>
        <w:tc>
          <w:tcPr>
            <w:tcW w:w="870" w:type="dxa"/>
            <w:vAlign w:val="center"/>
          </w:tcPr>
          <w:p>
            <w:pPr>
              <w:pStyle w:val="8"/>
              <w:widowControl w:val="0"/>
              <w:adjustRightInd w:val="0"/>
              <w:snapToGrid w:val="0"/>
              <w:ind w:firstLine="0" w:firstLineChars="0"/>
              <w:jc w:val="center"/>
              <w:rPr>
                <w:rFonts w:ascii="Times New Roman"/>
              </w:rPr>
            </w:pP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jc w:val="left"/>
              <w:rPr>
                <w:rFonts w:ascii="Times New Roman" w:eastAsiaTheme="minorEastAsia"/>
              </w:rPr>
            </w:pPr>
            <w:r>
              <w:rPr>
                <w:rFonts w:ascii="Times New Roman"/>
              </w:rPr>
              <w:t>客车出口</w:t>
            </w:r>
          </w:p>
        </w:tc>
        <w:tc>
          <w:tcPr>
            <w:tcW w:w="1143" w:type="dxa"/>
            <w:vAlign w:val="center"/>
          </w:tcPr>
          <w:p>
            <w:pPr>
              <w:pStyle w:val="8"/>
              <w:widowControl w:val="0"/>
              <w:adjustRightInd w:val="0"/>
              <w:snapToGrid w:val="0"/>
              <w:ind w:firstLine="0" w:firstLineChars="0"/>
              <w:jc w:val="center"/>
              <w:rPr>
                <w:rFonts w:ascii="Times New Roman"/>
              </w:rPr>
            </w:pPr>
          </w:p>
        </w:tc>
        <w:tc>
          <w:tcPr>
            <w:tcW w:w="870"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vAlign w:val="center"/>
          </w:tcPr>
          <w:p>
            <w:pPr>
              <w:pStyle w:val="8"/>
              <w:widowControl w:val="0"/>
              <w:adjustRightInd w:val="0"/>
              <w:snapToGrid w:val="0"/>
              <w:ind w:firstLine="0" w:firstLineChars="0"/>
              <w:jc w:val="center"/>
              <w:rPr>
                <w:rFonts w:hAnsi="宋体"/>
              </w:rPr>
            </w:pPr>
          </w:p>
        </w:tc>
        <w:tc>
          <w:tcPr>
            <w:tcW w:w="656" w:type="dxa"/>
            <w:vAlign w:val="center"/>
          </w:tcPr>
          <w:p>
            <w:pPr>
              <w:pStyle w:val="8"/>
              <w:widowControl w:val="0"/>
              <w:adjustRightInd w:val="0"/>
              <w:snapToGrid w:val="0"/>
              <w:ind w:firstLine="0" w:firstLineChars="0"/>
              <w:jc w:val="center"/>
              <w:rPr>
                <w:rFonts w:hAnsi="宋体"/>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jc w:val="left"/>
              <w:rPr>
                <w:rFonts w:ascii="Times New Roman"/>
              </w:rPr>
            </w:pPr>
            <w:r>
              <w:rPr>
                <w:rFonts w:ascii="Times New Roman"/>
              </w:rPr>
              <w:t>客车乘客通道和引道</w:t>
            </w:r>
          </w:p>
        </w:tc>
        <w:tc>
          <w:tcPr>
            <w:tcW w:w="1143" w:type="dxa"/>
            <w:vAlign w:val="center"/>
          </w:tcPr>
          <w:p>
            <w:pPr>
              <w:pStyle w:val="8"/>
              <w:widowControl w:val="0"/>
              <w:adjustRightInd w:val="0"/>
              <w:snapToGrid w:val="0"/>
              <w:ind w:firstLine="0" w:firstLineChars="0"/>
              <w:jc w:val="center"/>
              <w:rPr>
                <w:rFonts w:ascii="Times New Roman"/>
              </w:rPr>
            </w:pPr>
          </w:p>
        </w:tc>
        <w:tc>
          <w:tcPr>
            <w:tcW w:w="870"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vAlign w:val="center"/>
          </w:tcPr>
          <w:p>
            <w:pPr>
              <w:pStyle w:val="8"/>
              <w:widowControl w:val="0"/>
              <w:adjustRightInd w:val="0"/>
              <w:snapToGrid w:val="0"/>
              <w:ind w:firstLine="0" w:firstLineChars="0"/>
              <w:jc w:val="center"/>
              <w:rPr>
                <w:rFonts w:ascii="Times New Roman"/>
              </w:rPr>
            </w:pPr>
          </w:p>
        </w:tc>
        <w:tc>
          <w:tcPr>
            <w:tcW w:w="656" w:type="dxa"/>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jc w:val="left"/>
              <w:rPr>
                <w:rFonts w:ascii="Times New Roman" w:eastAsiaTheme="minorEastAsia"/>
              </w:rPr>
            </w:pPr>
            <w:r>
              <w:rPr>
                <w:rFonts w:ascii="Times New Roman"/>
              </w:rPr>
              <w:t>货厢</w:t>
            </w:r>
            <w:r>
              <w:rPr>
                <w:rFonts w:hint="eastAsia" w:ascii="Times New Roman" w:eastAsiaTheme="minorEastAsia"/>
              </w:rPr>
              <w:t>/罐体</w:t>
            </w:r>
          </w:p>
        </w:tc>
        <w:tc>
          <w:tcPr>
            <w:tcW w:w="1143" w:type="dxa"/>
            <w:vAlign w:val="center"/>
          </w:tcPr>
          <w:p>
            <w:pPr>
              <w:pStyle w:val="8"/>
              <w:widowControl w:val="0"/>
              <w:adjustRightInd w:val="0"/>
              <w:snapToGrid w:val="0"/>
              <w:ind w:firstLine="0" w:firstLineChars="0"/>
              <w:jc w:val="center"/>
              <w:rPr>
                <w:rFonts w:ascii="Times New Roman"/>
              </w:rPr>
            </w:pPr>
          </w:p>
        </w:tc>
        <w:tc>
          <w:tcPr>
            <w:tcW w:w="870" w:type="dxa"/>
            <w:vAlign w:val="center"/>
          </w:tcPr>
          <w:p>
            <w:pPr>
              <w:pStyle w:val="8"/>
              <w:widowControl w:val="0"/>
              <w:adjustRightInd w:val="0"/>
              <w:snapToGrid w:val="0"/>
              <w:ind w:firstLine="0" w:firstLineChars="0"/>
              <w:jc w:val="center"/>
              <w:rPr>
                <w:rFonts w:ascii="Times New Roman"/>
              </w:rPr>
            </w:pPr>
          </w:p>
        </w:tc>
        <w:tc>
          <w:tcPr>
            <w:tcW w:w="110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restart"/>
            <w:vAlign w:val="center"/>
          </w:tcPr>
          <w:p>
            <w:pPr>
              <w:pStyle w:val="8"/>
              <w:widowControl w:val="0"/>
              <w:adjustRightInd w:val="0"/>
              <w:snapToGrid w:val="0"/>
              <w:ind w:firstLine="0" w:firstLineChars="0"/>
              <w:jc w:val="center"/>
              <w:rPr>
                <w:rFonts w:ascii="Times New Roman"/>
              </w:rPr>
            </w:pPr>
            <w:r>
              <w:rPr>
                <w:rFonts w:ascii="Times New Roman"/>
              </w:rPr>
              <w:t>4</w:t>
            </w:r>
          </w:p>
        </w:tc>
        <w:tc>
          <w:tcPr>
            <w:tcW w:w="1100" w:type="dxa"/>
            <w:vMerge w:val="restart"/>
            <w:vAlign w:val="center"/>
          </w:tcPr>
          <w:p>
            <w:pPr>
              <w:pStyle w:val="8"/>
              <w:widowControl w:val="0"/>
              <w:adjustRightInd w:val="0"/>
              <w:snapToGrid w:val="0"/>
              <w:ind w:firstLine="0" w:firstLineChars="0"/>
              <w:jc w:val="center"/>
              <w:rPr>
                <w:rFonts w:ascii="Times New Roman"/>
              </w:rPr>
            </w:pPr>
            <w:r>
              <w:rPr>
                <w:rFonts w:ascii="Times New Roman"/>
              </w:rPr>
              <w:t>车辆外观检查</w:t>
            </w:r>
          </w:p>
        </w:tc>
        <w:tc>
          <w:tcPr>
            <w:tcW w:w="2838" w:type="dxa"/>
            <w:vAlign w:val="center"/>
          </w:tcPr>
          <w:p>
            <w:pPr>
              <w:pStyle w:val="8"/>
              <w:widowControl w:val="0"/>
              <w:adjustRightInd w:val="0"/>
              <w:snapToGrid w:val="0"/>
              <w:ind w:firstLine="0" w:firstLineChars="0"/>
              <w:rPr>
                <w:rFonts w:ascii="Times New Roman"/>
              </w:rPr>
            </w:pPr>
            <w:r>
              <w:rPr>
                <w:rFonts w:ascii="Times New Roman"/>
              </w:rPr>
              <w:t>车身外观</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外观标识、标注和标牌</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外部照明和信号装置</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轮胎</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eastAsiaTheme="minorEastAsia"/>
                <w:color w:val="FF0000"/>
              </w:rPr>
            </w:pPr>
            <w:r>
              <w:rPr>
                <w:rFonts w:ascii="Times New Roman"/>
              </w:rPr>
              <w:t>号牌</w:t>
            </w:r>
            <w:r>
              <w:rPr>
                <w:rFonts w:hint="eastAsia" w:ascii="Times New Roman" w:eastAsiaTheme="minorEastAsia"/>
              </w:rPr>
              <w:t>/</w:t>
            </w:r>
            <w:r>
              <w:rPr>
                <w:rFonts w:hint="eastAsia" w:ascii="Times New Roman"/>
              </w:rPr>
              <w:t>号牌</w:t>
            </w:r>
            <w:r>
              <w:rPr>
                <w:rFonts w:hint="eastAsia" w:ascii="Times New Roman" w:eastAsiaTheme="minorEastAsia"/>
              </w:rPr>
              <w:t>板（架）</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加装/改装灯具</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restart"/>
            <w:vAlign w:val="center"/>
          </w:tcPr>
          <w:p>
            <w:pPr>
              <w:pStyle w:val="8"/>
              <w:widowControl w:val="0"/>
              <w:adjustRightInd w:val="0"/>
              <w:snapToGrid w:val="0"/>
              <w:ind w:firstLine="0" w:firstLineChars="0"/>
              <w:jc w:val="center"/>
              <w:rPr>
                <w:rFonts w:ascii="Times New Roman" w:eastAsiaTheme="minorEastAsia"/>
              </w:rPr>
            </w:pPr>
            <w:r>
              <w:rPr>
                <w:rFonts w:ascii="Times New Roman"/>
              </w:rPr>
              <w:t>5</w:t>
            </w:r>
          </w:p>
        </w:tc>
        <w:tc>
          <w:tcPr>
            <w:tcW w:w="1100" w:type="dxa"/>
            <w:vMerge w:val="restart"/>
            <w:vAlign w:val="center"/>
          </w:tcPr>
          <w:p>
            <w:pPr>
              <w:pStyle w:val="8"/>
              <w:widowControl w:val="0"/>
              <w:adjustRightInd w:val="0"/>
              <w:snapToGrid w:val="0"/>
              <w:ind w:firstLine="0" w:firstLineChars="0"/>
              <w:jc w:val="center"/>
              <w:rPr>
                <w:rFonts w:ascii="Times New Roman"/>
              </w:rPr>
            </w:pPr>
            <w:r>
              <w:rPr>
                <w:rFonts w:ascii="Times New Roman"/>
              </w:rPr>
              <w:t>安全装置检查</w:t>
            </w:r>
          </w:p>
        </w:tc>
        <w:tc>
          <w:tcPr>
            <w:tcW w:w="2838" w:type="dxa"/>
            <w:vAlign w:val="center"/>
          </w:tcPr>
          <w:p>
            <w:pPr>
              <w:pStyle w:val="8"/>
              <w:widowControl w:val="0"/>
              <w:adjustRightInd w:val="0"/>
              <w:snapToGrid w:val="0"/>
              <w:ind w:firstLine="0" w:firstLineChars="0"/>
              <w:rPr>
                <w:rFonts w:ascii="Times New Roman"/>
              </w:rPr>
            </w:pPr>
            <w:r>
              <w:rPr>
                <w:rFonts w:ascii="Times New Roman"/>
              </w:rPr>
              <w:t>汽车安全带</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eastAsiaTheme="minorEastAsia"/>
              </w:rPr>
            </w:pPr>
            <w:r>
              <w:rPr>
                <w:rFonts w:hint="eastAsia" w:ascii="Times New Roman" w:eastAsiaTheme="minorEastAsia"/>
              </w:rPr>
              <w:t>应急停车安全附件</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灭火器</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行驶记录装置</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车身反光标识</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车辆尾部标志板</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侧</w:t>
            </w:r>
            <w:r>
              <w:rPr>
                <w:rFonts w:hint="eastAsia" w:ascii="Times New Roman" w:eastAsiaTheme="minorEastAsia"/>
              </w:rPr>
              <w:t>、</w:t>
            </w:r>
            <w:r>
              <w:rPr>
                <w:rFonts w:ascii="Times New Roman"/>
              </w:rPr>
              <w:t>后</w:t>
            </w:r>
            <w:r>
              <w:rPr>
                <w:rFonts w:hint="eastAsia" w:ascii="Times New Roman" w:eastAsiaTheme="minorEastAsia"/>
              </w:rPr>
              <w:t>、前下部</w:t>
            </w:r>
            <w:r>
              <w:rPr>
                <w:rFonts w:ascii="Times New Roman"/>
              </w:rPr>
              <w:t>防护装置</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应急锤</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急救箱</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辅助制动装置</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紧急切断装置</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ascii="Times New Roman"/>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ascii="Times New Roman"/>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发动机舱自动灭火装置</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手动机械断电开关</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hAnsi="宋体"/>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eastAsiaTheme="minorEastAsia"/>
              </w:rPr>
            </w:pPr>
            <w:r>
              <w:rPr>
                <w:rFonts w:ascii="Times New Roman"/>
              </w:rPr>
              <w:t>副制动踏板</w:t>
            </w:r>
            <w:r>
              <w:rPr>
                <w:rFonts w:hint="eastAsia" w:ascii="Times New Roman" w:eastAsiaTheme="minorEastAsia"/>
                <w:sz w:val="28"/>
                <w:szCs w:val="28"/>
                <w:vertAlign w:val="superscript"/>
              </w:rPr>
              <w:t>b</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校车标志灯和校车停车指示标志牌</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hAnsi="宋体"/>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rPr>
            </w:pPr>
            <w:r>
              <w:rPr>
                <w:rFonts w:ascii="Times New Roman"/>
              </w:rPr>
              <w:t>危险货物运输车标志</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vAlign w:val="center"/>
          </w:tcPr>
          <w:p>
            <w:pPr>
              <w:pStyle w:val="8"/>
              <w:widowControl w:val="0"/>
              <w:adjustRightInd w:val="0"/>
              <w:snapToGrid w:val="0"/>
              <w:ind w:firstLine="0" w:firstLineChars="0"/>
              <w:jc w:val="center"/>
              <w:rPr>
                <w:rFonts w:ascii="Times New Roman"/>
              </w:rPr>
            </w:pPr>
          </w:p>
        </w:tc>
        <w:tc>
          <w:tcPr>
            <w:tcW w:w="1100" w:type="dxa"/>
            <w:vMerge w:val="continue"/>
            <w:vAlign w:val="center"/>
          </w:tcPr>
          <w:p>
            <w:pPr>
              <w:pStyle w:val="8"/>
              <w:widowControl w:val="0"/>
              <w:adjustRightInd w:val="0"/>
              <w:snapToGrid w:val="0"/>
              <w:ind w:firstLine="0" w:firstLineChars="0"/>
              <w:jc w:val="center"/>
              <w:rPr>
                <w:rFonts w:ascii="Times New Roman"/>
              </w:rPr>
            </w:pPr>
          </w:p>
        </w:tc>
        <w:tc>
          <w:tcPr>
            <w:tcW w:w="2838" w:type="dxa"/>
            <w:vAlign w:val="center"/>
          </w:tcPr>
          <w:p>
            <w:pPr>
              <w:pStyle w:val="8"/>
              <w:widowControl w:val="0"/>
              <w:adjustRightInd w:val="0"/>
              <w:snapToGrid w:val="0"/>
              <w:ind w:firstLine="0" w:firstLineChars="0"/>
              <w:rPr>
                <w:rFonts w:ascii="Times New Roman" w:eastAsiaTheme="minorEastAsia"/>
              </w:rPr>
            </w:pPr>
            <w:r>
              <w:rPr>
                <w:rFonts w:hint="eastAsia" w:ascii="Times New Roman" w:eastAsiaTheme="minorEastAsia"/>
              </w:rPr>
              <w:t>驾驶区隔离装置</w:t>
            </w:r>
          </w:p>
        </w:tc>
        <w:tc>
          <w:tcPr>
            <w:tcW w:w="1143"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10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5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700" w:type="dxa"/>
            <w:vMerge w:val="continue"/>
            <w:tcBorders>
              <w:bottom w:val="single" w:color="auto" w:sz="4" w:space="0"/>
            </w:tcBorders>
            <w:vAlign w:val="center"/>
          </w:tcPr>
          <w:p>
            <w:pPr>
              <w:pStyle w:val="8"/>
              <w:widowControl w:val="0"/>
              <w:adjustRightInd w:val="0"/>
              <w:snapToGrid w:val="0"/>
              <w:ind w:firstLine="0" w:firstLineChars="0"/>
              <w:jc w:val="center"/>
              <w:rPr>
                <w:rFonts w:ascii="Times New Roman"/>
              </w:rPr>
            </w:pPr>
          </w:p>
        </w:tc>
        <w:tc>
          <w:tcPr>
            <w:tcW w:w="1100" w:type="dxa"/>
            <w:vMerge w:val="continue"/>
            <w:tcBorders>
              <w:bottom w:val="single" w:color="auto" w:sz="4" w:space="0"/>
            </w:tcBorders>
            <w:vAlign w:val="center"/>
          </w:tcPr>
          <w:p>
            <w:pPr>
              <w:pStyle w:val="8"/>
              <w:widowControl w:val="0"/>
              <w:adjustRightInd w:val="0"/>
              <w:snapToGrid w:val="0"/>
              <w:ind w:firstLine="0" w:firstLineChars="0"/>
              <w:jc w:val="center"/>
              <w:rPr>
                <w:rFonts w:ascii="Times New Roman"/>
              </w:rPr>
            </w:pPr>
          </w:p>
        </w:tc>
        <w:tc>
          <w:tcPr>
            <w:tcW w:w="2838" w:type="dxa"/>
            <w:tcBorders>
              <w:bottom w:val="single" w:color="auto" w:sz="4" w:space="0"/>
            </w:tcBorders>
            <w:vAlign w:val="center"/>
          </w:tcPr>
          <w:p>
            <w:pPr>
              <w:pStyle w:val="8"/>
              <w:widowControl w:val="0"/>
              <w:adjustRightInd w:val="0"/>
              <w:snapToGrid w:val="0"/>
              <w:ind w:firstLine="0" w:firstLineChars="0"/>
              <w:rPr>
                <w:rFonts w:ascii="Times New Roman"/>
              </w:rPr>
            </w:pPr>
            <w:r>
              <w:rPr>
                <w:rFonts w:hint="eastAsia" w:ascii="Times New Roman"/>
              </w:rPr>
              <w:t>肢体残疾人操纵辅助装置</w:t>
            </w:r>
          </w:p>
        </w:tc>
        <w:tc>
          <w:tcPr>
            <w:tcW w:w="1143" w:type="dxa"/>
            <w:tcBorders>
              <w:bottom w:val="single" w:color="auto" w:sz="4" w:space="0"/>
            </w:tcBorders>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tcBorders>
              <w:bottom w:val="single" w:color="auto" w:sz="4" w:space="0"/>
            </w:tcBorders>
            <w:shd w:val="clear" w:color="auto" w:fill="auto"/>
            <w:vAlign w:val="center"/>
          </w:tcPr>
          <w:p>
            <w:pPr>
              <w:pStyle w:val="8"/>
              <w:widowControl w:val="0"/>
              <w:adjustRightInd w:val="0"/>
              <w:snapToGrid w:val="0"/>
              <w:ind w:firstLine="0" w:firstLineChars="0"/>
              <w:jc w:val="center"/>
              <w:rPr>
                <w:rFonts w:ascii="Times New Roman"/>
              </w:rPr>
            </w:pPr>
          </w:p>
        </w:tc>
        <w:tc>
          <w:tcPr>
            <w:tcW w:w="1102" w:type="dxa"/>
            <w:tcBorders>
              <w:bottom w:val="single" w:color="auto" w:sz="4" w:space="0"/>
            </w:tcBorders>
            <w:shd w:val="clear" w:color="auto" w:fill="auto"/>
            <w:vAlign w:val="center"/>
          </w:tcPr>
          <w:p>
            <w:pPr>
              <w:pStyle w:val="8"/>
              <w:widowControl w:val="0"/>
              <w:adjustRightInd w:val="0"/>
              <w:snapToGrid w:val="0"/>
              <w:ind w:firstLine="0" w:firstLineChars="0"/>
              <w:jc w:val="center"/>
              <w:rPr>
                <w:rFonts w:ascii="Times New Roman"/>
              </w:rPr>
            </w:pPr>
          </w:p>
        </w:tc>
        <w:tc>
          <w:tcPr>
            <w:tcW w:w="656" w:type="dxa"/>
            <w:tcBorders>
              <w:bottom w:val="single" w:color="auto" w:sz="4" w:space="0"/>
            </w:tcBorders>
            <w:shd w:val="clear" w:color="auto" w:fill="auto"/>
            <w:vAlign w:val="center"/>
          </w:tcPr>
          <w:p>
            <w:pPr>
              <w:pStyle w:val="8"/>
              <w:widowControl w:val="0"/>
              <w:adjustRightInd w:val="0"/>
              <w:snapToGrid w:val="0"/>
              <w:ind w:firstLine="0" w:firstLineChars="0"/>
              <w:jc w:val="center"/>
              <w:rPr>
                <w:rFonts w:ascii="Times New Roman"/>
              </w:rPr>
            </w:pPr>
          </w:p>
        </w:tc>
        <w:tc>
          <w:tcPr>
            <w:tcW w:w="849" w:type="dxa"/>
            <w:tcBorders>
              <w:bottom w:val="single" w:color="auto" w:sz="4" w:space="0"/>
            </w:tcBorders>
            <w:vAlign w:val="center"/>
          </w:tcPr>
          <w:p>
            <w:pPr>
              <w:pStyle w:val="8"/>
              <w:widowControl w:val="0"/>
              <w:adjustRightInd w:val="0"/>
              <w:snapToGrid w:val="0"/>
              <w:ind w:firstLine="0" w:firstLineChars="0"/>
              <w:jc w:val="center"/>
              <w:rPr>
                <w:rFonts w:ascii="Times New Roman"/>
              </w:rPr>
            </w:pPr>
          </w:p>
        </w:tc>
        <w:tc>
          <w:tcPr>
            <w:tcW w:w="859" w:type="dxa"/>
            <w:tcBorders>
              <w:bottom w:val="single" w:color="auto" w:sz="4" w:space="0"/>
            </w:tcBorders>
            <w:shd w:val="clear" w:color="auto" w:fill="auto"/>
            <w:vAlign w:val="center"/>
          </w:tcPr>
          <w:p>
            <w:pPr>
              <w:pStyle w:val="8"/>
              <w:widowControl w:val="0"/>
              <w:adjustRightInd w:val="0"/>
              <w:snapToGrid w:val="0"/>
              <w:ind w:firstLine="0" w:firstLineChars="0"/>
              <w:jc w:val="center"/>
              <w:rPr>
                <w:rFonts w:ascii="Times New Roman"/>
              </w:rPr>
            </w:pPr>
          </w:p>
        </w:tc>
      </w:tr>
    </w:tbl>
    <w:p>
      <w:pPr>
        <w:pStyle w:val="11"/>
        <w:tabs>
          <w:tab w:val="clear" w:pos="720"/>
        </w:tabs>
        <w:spacing w:before="156" w:after="156"/>
        <w:ind w:left="0" w:firstLine="0"/>
        <w:rPr>
          <w:rFonts w:hAnsi="黑体"/>
        </w:rPr>
      </w:pPr>
      <w:r>
        <w:rPr>
          <w:rFonts w:ascii="Times New Roman"/>
          <w:kern w:val="2"/>
          <w:szCs w:val="24"/>
        </w:rPr>
        <w:br w:type="page"/>
      </w:r>
      <w:r>
        <w:rPr>
          <w:rFonts w:hint="eastAsia" w:hAnsi="黑体"/>
          <w:kern w:val="2"/>
          <w:szCs w:val="24"/>
        </w:rPr>
        <w:t xml:space="preserve">表1  </w:t>
      </w:r>
      <w:r>
        <w:rPr>
          <w:rFonts w:hint="eastAsia" w:hAnsi="黑体"/>
        </w:rPr>
        <w:t>机动车安全技术检验项目表（续）</w:t>
      </w:r>
    </w:p>
    <w:tbl>
      <w:tblPr>
        <w:tblStyle w:val="4"/>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173"/>
        <w:gridCol w:w="648"/>
        <w:gridCol w:w="1946"/>
        <w:gridCol w:w="845"/>
        <w:gridCol w:w="843"/>
        <w:gridCol w:w="860"/>
        <w:gridCol w:w="859"/>
        <w:gridCol w:w="823"/>
        <w:gridCol w:w="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426" w:type="dxa"/>
            <w:vMerge w:val="restart"/>
            <w:vAlign w:val="center"/>
          </w:tcPr>
          <w:p>
            <w:pPr>
              <w:pStyle w:val="8"/>
              <w:widowControl w:val="0"/>
              <w:adjustRightInd w:val="0"/>
              <w:snapToGrid w:val="0"/>
              <w:ind w:firstLine="0" w:firstLineChars="0"/>
              <w:jc w:val="center"/>
              <w:rPr>
                <w:rFonts w:ascii="Times New Roman"/>
              </w:rPr>
            </w:pPr>
            <w:r>
              <w:rPr>
                <w:rFonts w:ascii="Times New Roman"/>
              </w:rPr>
              <w:t>序号</w:t>
            </w:r>
          </w:p>
        </w:tc>
        <w:tc>
          <w:tcPr>
            <w:tcW w:w="3933" w:type="dxa"/>
            <w:gridSpan w:val="3"/>
            <w:vMerge w:val="restart"/>
            <w:vAlign w:val="center"/>
          </w:tcPr>
          <w:p>
            <w:pPr>
              <w:pStyle w:val="8"/>
              <w:widowControl w:val="0"/>
              <w:adjustRightInd w:val="0"/>
              <w:snapToGrid w:val="0"/>
              <w:ind w:firstLine="0" w:firstLineChars="0"/>
              <w:jc w:val="center"/>
              <w:rPr>
                <w:rFonts w:ascii="Times New Roman"/>
              </w:rPr>
            </w:pPr>
            <w:r>
              <w:rPr>
                <w:rFonts w:ascii="Times New Roman"/>
              </w:rPr>
              <w:t>检 验 项 目</w:t>
            </w:r>
          </w:p>
        </w:tc>
        <w:tc>
          <w:tcPr>
            <w:tcW w:w="5211" w:type="dxa"/>
            <w:gridSpan w:val="6"/>
            <w:vAlign w:val="center"/>
          </w:tcPr>
          <w:p>
            <w:pPr>
              <w:pStyle w:val="8"/>
              <w:widowControl w:val="0"/>
              <w:adjustRightInd w:val="0"/>
              <w:snapToGrid w:val="0"/>
              <w:ind w:firstLine="0" w:firstLineChars="0"/>
              <w:jc w:val="center"/>
              <w:rPr>
                <w:rFonts w:ascii="Times New Roman"/>
              </w:rPr>
            </w:pPr>
            <w:r>
              <w:rPr>
                <w:rFonts w:ascii="Times New Roman"/>
              </w:rPr>
              <w:t>适用</w:t>
            </w:r>
            <w:r>
              <w:rPr>
                <w:rFonts w:hint="eastAsia" w:ascii="Times New Roman"/>
              </w:rPr>
              <w:t>车辆类型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3933" w:type="dxa"/>
            <w:gridSpan w:val="3"/>
            <w:vMerge w:val="continue"/>
            <w:vAlign w:val="center"/>
          </w:tcPr>
          <w:p>
            <w:pPr>
              <w:pStyle w:val="8"/>
              <w:widowControl w:val="0"/>
              <w:adjustRightInd w:val="0"/>
              <w:snapToGrid w:val="0"/>
              <w:jc w:val="center"/>
              <w:rPr>
                <w:rFonts w:ascii="Times New Roman"/>
              </w:rPr>
            </w:pPr>
          </w:p>
        </w:tc>
        <w:tc>
          <w:tcPr>
            <w:tcW w:w="1742" w:type="dxa"/>
            <w:gridSpan w:val="2"/>
            <w:shd w:val="clear" w:color="auto" w:fill="auto"/>
            <w:vAlign w:val="center"/>
          </w:tcPr>
          <w:p>
            <w:pPr>
              <w:pStyle w:val="8"/>
              <w:widowControl w:val="0"/>
              <w:adjustRightInd w:val="0"/>
              <w:snapToGrid w:val="0"/>
              <w:ind w:left="-59" w:leftChars="-28" w:firstLine="0" w:firstLineChars="0"/>
              <w:jc w:val="center"/>
              <w:rPr>
                <w:rFonts w:ascii="Times New Roman"/>
              </w:rPr>
            </w:pPr>
            <w:r>
              <w:rPr>
                <w:rFonts w:ascii="Times New Roman"/>
              </w:rPr>
              <w:t>载客汽车</w:t>
            </w:r>
          </w:p>
        </w:tc>
        <w:tc>
          <w:tcPr>
            <w:tcW w:w="874" w:type="dxa"/>
            <w:vMerge w:val="restart"/>
            <w:shd w:val="clear" w:color="auto" w:fill="auto"/>
            <w:vAlign w:val="center"/>
          </w:tcPr>
          <w:p>
            <w:pPr>
              <w:pStyle w:val="8"/>
              <w:widowControl w:val="0"/>
              <w:adjustRightInd w:val="0"/>
              <w:snapToGrid w:val="0"/>
              <w:ind w:left="-103" w:leftChars="-49" w:right="-94" w:rightChars="-45" w:firstLine="0" w:firstLineChars="0"/>
              <w:jc w:val="center"/>
              <w:rPr>
                <w:rFonts w:ascii="Times New Roman"/>
              </w:rPr>
            </w:pPr>
            <w:r>
              <w:rPr>
                <w:rFonts w:ascii="Times New Roman"/>
              </w:rPr>
              <w:t>载货汽车（三轮汽车除外）、专项作业车</w:t>
            </w:r>
          </w:p>
        </w:tc>
        <w:tc>
          <w:tcPr>
            <w:tcW w:w="887" w:type="dxa"/>
            <w:vMerge w:val="restart"/>
            <w:shd w:val="clear" w:color="auto" w:fill="auto"/>
            <w:vAlign w:val="center"/>
          </w:tcPr>
          <w:p>
            <w:pPr>
              <w:pStyle w:val="8"/>
              <w:widowControl w:val="0"/>
              <w:adjustRightInd w:val="0"/>
              <w:snapToGrid w:val="0"/>
              <w:ind w:firstLine="0" w:firstLineChars="0"/>
              <w:jc w:val="center"/>
              <w:rPr>
                <w:rFonts w:ascii="Times New Roman"/>
              </w:rPr>
            </w:pPr>
            <w:r>
              <w:rPr>
                <w:rFonts w:ascii="Times New Roman"/>
              </w:rPr>
              <w:t>挂车</w:t>
            </w:r>
          </w:p>
        </w:tc>
        <w:tc>
          <w:tcPr>
            <w:tcW w:w="849" w:type="dxa"/>
            <w:vMerge w:val="restart"/>
            <w:vAlign w:val="center"/>
          </w:tcPr>
          <w:p>
            <w:pPr>
              <w:pStyle w:val="8"/>
              <w:widowControl w:val="0"/>
              <w:adjustRightInd w:val="0"/>
              <w:snapToGrid w:val="0"/>
              <w:ind w:firstLine="0" w:firstLineChars="0"/>
              <w:jc w:val="center"/>
              <w:rPr>
                <w:rFonts w:ascii="Times New Roman"/>
              </w:rPr>
            </w:pPr>
            <w:r>
              <w:rPr>
                <w:rFonts w:ascii="Times New Roman"/>
              </w:rPr>
              <w:t>三轮</w:t>
            </w:r>
          </w:p>
          <w:p>
            <w:pPr>
              <w:pStyle w:val="8"/>
              <w:widowControl w:val="0"/>
              <w:adjustRightInd w:val="0"/>
              <w:snapToGrid w:val="0"/>
              <w:ind w:firstLine="0" w:firstLineChars="0"/>
              <w:jc w:val="center"/>
              <w:rPr>
                <w:rFonts w:ascii="Times New Roman"/>
              </w:rPr>
            </w:pPr>
            <w:r>
              <w:rPr>
                <w:rFonts w:ascii="Times New Roman"/>
              </w:rPr>
              <w:t>汽车</w:t>
            </w:r>
          </w:p>
        </w:tc>
        <w:tc>
          <w:tcPr>
            <w:tcW w:w="859" w:type="dxa"/>
            <w:vMerge w:val="restart"/>
            <w:shd w:val="clear" w:color="auto" w:fill="auto"/>
            <w:vAlign w:val="center"/>
          </w:tcPr>
          <w:p>
            <w:pPr>
              <w:pStyle w:val="8"/>
              <w:widowControl w:val="0"/>
              <w:adjustRightInd w:val="0"/>
              <w:snapToGrid w:val="0"/>
              <w:ind w:firstLine="0" w:firstLineChars="0"/>
              <w:jc w:val="center"/>
              <w:rPr>
                <w:rFonts w:ascii="Times New Roman"/>
              </w:rPr>
            </w:pPr>
            <w:r>
              <w:rPr>
                <w:rFonts w:ascii="Times New Roman"/>
              </w:rPr>
              <w:t>摩托车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26" w:type="dxa"/>
            <w:vMerge w:val="continue"/>
            <w:vAlign w:val="center"/>
          </w:tcPr>
          <w:p>
            <w:pPr>
              <w:pStyle w:val="8"/>
              <w:widowControl w:val="0"/>
              <w:adjustRightInd w:val="0"/>
              <w:snapToGrid w:val="0"/>
              <w:ind w:firstLine="0" w:firstLineChars="0"/>
              <w:jc w:val="center"/>
              <w:rPr>
                <w:rFonts w:ascii="Times New Roman"/>
                <w:b/>
              </w:rPr>
            </w:pPr>
          </w:p>
        </w:tc>
        <w:tc>
          <w:tcPr>
            <w:tcW w:w="3933" w:type="dxa"/>
            <w:gridSpan w:val="3"/>
            <w:vMerge w:val="continue"/>
            <w:vAlign w:val="center"/>
          </w:tcPr>
          <w:p>
            <w:pPr>
              <w:pStyle w:val="8"/>
              <w:widowControl w:val="0"/>
              <w:adjustRightInd w:val="0"/>
              <w:snapToGrid w:val="0"/>
              <w:ind w:firstLine="422" w:firstLineChars="0"/>
              <w:jc w:val="center"/>
              <w:rPr>
                <w:rFonts w:ascii="Times New Roman"/>
              </w:rPr>
            </w:pPr>
          </w:p>
        </w:tc>
        <w:tc>
          <w:tcPr>
            <w:tcW w:w="872" w:type="dxa"/>
            <w:shd w:val="clear" w:color="auto" w:fill="auto"/>
            <w:vAlign w:val="center"/>
          </w:tcPr>
          <w:p>
            <w:pPr>
              <w:pStyle w:val="8"/>
              <w:widowControl w:val="0"/>
              <w:adjustRightInd w:val="0"/>
              <w:snapToGrid w:val="0"/>
              <w:ind w:left="-103" w:leftChars="-49" w:right="-94" w:rightChars="-45" w:firstLine="0" w:firstLineChars="0"/>
              <w:jc w:val="center"/>
              <w:rPr>
                <w:rFonts w:ascii="Times New Roman"/>
                <w:b/>
              </w:rPr>
            </w:pPr>
            <w:r>
              <w:rPr>
                <w:rFonts w:ascii="Times New Roman"/>
              </w:rPr>
              <w:t>非营运小型、微型载客汽车</w:t>
            </w:r>
          </w:p>
        </w:tc>
        <w:tc>
          <w:tcPr>
            <w:tcW w:w="870" w:type="dxa"/>
            <w:shd w:val="clear" w:color="auto" w:fill="auto"/>
            <w:vAlign w:val="center"/>
          </w:tcPr>
          <w:p>
            <w:pPr>
              <w:pStyle w:val="8"/>
              <w:widowControl w:val="0"/>
              <w:adjustRightInd w:val="0"/>
              <w:snapToGrid w:val="0"/>
              <w:ind w:left="-59" w:leftChars="-28" w:firstLine="0" w:firstLineChars="0"/>
              <w:jc w:val="center"/>
              <w:rPr>
                <w:rFonts w:ascii="Times New Roman"/>
              </w:rPr>
            </w:pPr>
            <w:r>
              <w:rPr>
                <w:rFonts w:ascii="Times New Roman"/>
              </w:rPr>
              <w:t>其它类型载客汽车</w:t>
            </w:r>
          </w:p>
        </w:tc>
        <w:tc>
          <w:tcPr>
            <w:tcW w:w="874" w:type="dxa"/>
            <w:vMerge w:val="continue"/>
            <w:shd w:val="clear" w:color="auto" w:fill="auto"/>
            <w:vAlign w:val="center"/>
          </w:tcPr>
          <w:p>
            <w:pPr>
              <w:pStyle w:val="8"/>
              <w:widowControl w:val="0"/>
              <w:adjustRightInd w:val="0"/>
              <w:snapToGrid w:val="0"/>
              <w:ind w:left="-59" w:leftChars="-28" w:firstLine="0" w:firstLineChars="0"/>
              <w:jc w:val="center"/>
              <w:rPr>
                <w:rFonts w:ascii="Times New Roman"/>
              </w:rPr>
            </w:pPr>
          </w:p>
        </w:tc>
        <w:tc>
          <w:tcPr>
            <w:tcW w:w="887" w:type="dxa"/>
            <w:vMerge w:val="continue"/>
            <w:shd w:val="clear" w:color="auto" w:fill="auto"/>
            <w:vAlign w:val="center"/>
          </w:tcPr>
          <w:p>
            <w:pPr>
              <w:pStyle w:val="8"/>
              <w:widowControl w:val="0"/>
              <w:adjustRightInd w:val="0"/>
              <w:snapToGrid w:val="0"/>
              <w:ind w:firstLine="0" w:firstLineChars="0"/>
              <w:jc w:val="center"/>
              <w:rPr>
                <w:rFonts w:ascii="Times New Roman"/>
              </w:rPr>
            </w:pPr>
          </w:p>
        </w:tc>
        <w:tc>
          <w:tcPr>
            <w:tcW w:w="849" w:type="dxa"/>
            <w:vMerge w:val="continue"/>
          </w:tcPr>
          <w:p>
            <w:pPr>
              <w:pStyle w:val="8"/>
              <w:widowControl w:val="0"/>
              <w:adjustRightInd w:val="0"/>
              <w:snapToGrid w:val="0"/>
              <w:ind w:firstLine="0" w:firstLineChars="0"/>
              <w:jc w:val="center"/>
              <w:rPr>
                <w:rFonts w:ascii="Times New Roman"/>
              </w:rPr>
            </w:pPr>
          </w:p>
        </w:tc>
        <w:tc>
          <w:tcPr>
            <w:tcW w:w="859" w:type="dxa"/>
            <w:vMerge w:val="continue"/>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426" w:type="dxa"/>
            <w:vMerge w:val="restart"/>
            <w:vAlign w:val="center"/>
          </w:tcPr>
          <w:p>
            <w:pPr>
              <w:pStyle w:val="8"/>
              <w:widowControl w:val="0"/>
              <w:adjustRightInd w:val="0"/>
              <w:snapToGrid w:val="0"/>
              <w:ind w:firstLine="0" w:firstLineChars="0"/>
              <w:jc w:val="center"/>
              <w:rPr>
                <w:rFonts w:ascii="Times New Roman" w:eastAsiaTheme="minorEastAsia"/>
              </w:rPr>
            </w:pPr>
            <w:r>
              <w:rPr>
                <w:rFonts w:hint="eastAsia" w:ascii="Times New Roman" w:eastAsiaTheme="minorEastAsia"/>
              </w:rPr>
              <w:t>6</w:t>
            </w:r>
          </w:p>
        </w:tc>
        <w:tc>
          <w:tcPr>
            <w:tcW w:w="1222" w:type="dxa"/>
            <w:vMerge w:val="restart"/>
            <w:vAlign w:val="center"/>
          </w:tcPr>
          <w:p>
            <w:pPr>
              <w:pStyle w:val="8"/>
              <w:widowControl w:val="0"/>
              <w:adjustRightInd w:val="0"/>
              <w:snapToGrid w:val="0"/>
              <w:ind w:firstLine="0" w:firstLineChars="0"/>
              <w:jc w:val="center"/>
              <w:rPr>
                <w:rFonts w:ascii="Times New Roman"/>
              </w:rPr>
            </w:pPr>
            <w:r>
              <w:rPr>
                <w:rFonts w:ascii="Times New Roman"/>
              </w:rPr>
              <w:t>底盘动态检验</w:t>
            </w: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转向系</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传动系</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4"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制动系</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仪表和指示器</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restart"/>
            <w:vAlign w:val="center"/>
          </w:tcPr>
          <w:p>
            <w:pPr>
              <w:pStyle w:val="8"/>
              <w:widowControl w:val="0"/>
              <w:adjustRightInd w:val="0"/>
              <w:snapToGrid w:val="0"/>
              <w:ind w:firstLine="0" w:firstLineChars="0"/>
              <w:jc w:val="center"/>
              <w:rPr>
                <w:rFonts w:ascii="Times New Roman" w:eastAsiaTheme="minorEastAsia"/>
              </w:rPr>
            </w:pPr>
            <w:r>
              <w:rPr>
                <w:rFonts w:hint="eastAsia" w:ascii="Times New Roman" w:eastAsiaTheme="minorEastAsia"/>
              </w:rPr>
              <w:t>7</w:t>
            </w:r>
          </w:p>
          <w:p>
            <w:pPr>
              <w:pStyle w:val="8"/>
              <w:widowControl w:val="0"/>
              <w:adjustRightInd w:val="0"/>
              <w:snapToGrid w:val="0"/>
              <w:jc w:val="center"/>
              <w:rPr>
                <w:rFonts w:ascii="Times New Roman"/>
              </w:rPr>
            </w:pPr>
            <w:r>
              <w:rPr>
                <w:rFonts w:ascii="Times New Roman"/>
              </w:rPr>
              <w:t>7</w:t>
            </w:r>
          </w:p>
        </w:tc>
        <w:tc>
          <w:tcPr>
            <w:tcW w:w="1222" w:type="dxa"/>
            <w:vMerge w:val="restart"/>
            <w:vAlign w:val="center"/>
          </w:tcPr>
          <w:p>
            <w:pPr>
              <w:pStyle w:val="8"/>
              <w:widowControl w:val="0"/>
              <w:adjustRightInd w:val="0"/>
              <w:snapToGrid w:val="0"/>
              <w:ind w:firstLine="0" w:firstLineChars="0"/>
              <w:jc w:val="center"/>
              <w:rPr>
                <w:rFonts w:ascii="Times New Roman"/>
              </w:rPr>
            </w:pPr>
            <w:r>
              <w:rPr>
                <w:rFonts w:ascii="Times New Roman"/>
              </w:rPr>
              <w:t>车辆底盘部件检查</w:t>
            </w: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转向系部件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传动系部件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行驶系部件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制动系部件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其它部件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restart"/>
            <w:vAlign w:val="center"/>
          </w:tcPr>
          <w:p>
            <w:pPr>
              <w:pStyle w:val="8"/>
              <w:widowControl w:val="0"/>
              <w:adjustRightInd w:val="0"/>
              <w:snapToGrid w:val="0"/>
              <w:jc w:val="center"/>
              <w:rPr>
                <w:rFonts w:ascii="Times New Roman"/>
              </w:rPr>
            </w:pPr>
            <w:r>
              <w:rPr>
                <w:rFonts w:ascii="Times New Roman"/>
              </w:rPr>
              <w:t>8</w:t>
            </w:r>
          </w:p>
        </w:tc>
        <w:tc>
          <w:tcPr>
            <w:tcW w:w="1222" w:type="dxa"/>
            <w:vMerge w:val="restart"/>
            <w:vAlign w:val="center"/>
          </w:tcPr>
          <w:p>
            <w:pPr>
              <w:pStyle w:val="8"/>
              <w:widowControl w:val="0"/>
              <w:adjustRightInd w:val="0"/>
              <w:snapToGrid w:val="0"/>
              <w:ind w:firstLine="0" w:firstLineChars="0"/>
              <w:rPr>
                <w:rFonts w:ascii="Times New Roman" w:eastAsiaTheme="minorEastAsia"/>
              </w:rPr>
            </w:pPr>
            <w:r>
              <w:rPr>
                <w:rFonts w:ascii="Times New Roman"/>
              </w:rPr>
              <w:t>仪器设备</w:t>
            </w:r>
          </w:p>
          <w:p>
            <w:pPr>
              <w:pStyle w:val="8"/>
              <w:widowControl w:val="0"/>
              <w:adjustRightInd w:val="0"/>
              <w:snapToGrid w:val="0"/>
              <w:ind w:firstLine="0" w:firstLineChars="0"/>
              <w:rPr>
                <w:rFonts w:ascii="Times New Roman"/>
              </w:rPr>
            </w:pPr>
            <w:r>
              <w:rPr>
                <w:rFonts w:ascii="Times New Roman"/>
              </w:rPr>
              <w:t>检验</w:t>
            </w:r>
          </w:p>
        </w:tc>
        <w:tc>
          <w:tcPr>
            <w:tcW w:w="2711" w:type="dxa"/>
            <w:gridSpan w:val="2"/>
            <w:vAlign w:val="center"/>
          </w:tcPr>
          <w:p>
            <w:pPr>
              <w:pStyle w:val="8"/>
              <w:widowControl w:val="0"/>
              <w:adjustRightInd w:val="0"/>
              <w:snapToGrid w:val="0"/>
              <w:ind w:firstLine="0" w:firstLineChars="0"/>
              <w:rPr>
                <w:rFonts w:ascii="Times New Roman" w:eastAsiaTheme="minorEastAsia"/>
              </w:rPr>
            </w:pPr>
            <w:r>
              <w:rPr>
                <w:rFonts w:hint="eastAsia" w:ascii="Times New Roman" w:eastAsiaTheme="minorEastAsia"/>
              </w:rPr>
              <w:t>空车质量</w:t>
            </w:r>
          </w:p>
        </w:tc>
        <w:tc>
          <w:tcPr>
            <w:tcW w:w="872" w:type="dxa"/>
            <w:shd w:val="clear" w:color="auto" w:fill="auto"/>
            <w:vAlign w:val="center"/>
          </w:tcPr>
          <w:p>
            <w:pPr>
              <w:pStyle w:val="8"/>
              <w:widowControl w:val="0"/>
              <w:adjustRightInd w:val="0"/>
              <w:snapToGrid w:val="0"/>
              <w:ind w:firstLine="0" w:firstLineChars="0"/>
              <w:jc w:val="center"/>
              <w:rPr>
                <w:rFonts w:hAnsi="宋体"/>
              </w:rPr>
            </w:pPr>
          </w:p>
        </w:tc>
        <w:tc>
          <w:tcPr>
            <w:tcW w:w="870" w:type="dxa"/>
            <w:shd w:val="clear" w:color="auto" w:fill="auto"/>
            <w:vAlign w:val="center"/>
          </w:tcPr>
          <w:p>
            <w:pPr>
              <w:pStyle w:val="8"/>
              <w:widowControl w:val="0"/>
              <w:adjustRightInd w:val="0"/>
              <w:snapToGrid w:val="0"/>
              <w:ind w:firstLine="0" w:firstLineChars="0"/>
              <w:jc w:val="center"/>
              <w:rPr>
                <w:rFonts w:hAnsi="宋体"/>
              </w:rPr>
            </w:pP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hAnsi="宋体"/>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666" w:type="dxa"/>
            <w:vMerge w:val="restart"/>
            <w:vAlign w:val="center"/>
          </w:tcPr>
          <w:p>
            <w:pPr>
              <w:pStyle w:val="8"/>
              <w:widowControl w:val="0"/>
              <w:adjustRightInd w:val="0"/>
              <w:snapToGrid w:val="0"/>
              <w:ind w:right="-61" w:rightChars="-29" w:firstLine="0" w:firstLineChars="0"/>
              <w:jc w:val="left"/>
              <w:rPr>
                <w:rFonts w:ascii="Times New Roman"/>
              </w:rPr>
            </w:pPr>
            <w:r>
              <w:rPr>
                <w:rFonts w:ascii="Times New Roman"/>
              </w:rPr>
              <w:t>行车</w:t>
            </w:r>
          </w:p>
          <w:p>
            <w:pPr>
              <w:pStyle w:val="8"/>
              <w:widowControl w:val="0"/>
              <w:adjustRightInd w:val="0"/>
              <w:snapToGrid w:val="0"/>
              <w:ind w:right="-61" w:rightChars="-29" w:firstLine="0" w:firstLineChars="0"/>
              <w:jc w:val="left"/>
              <w:rPr>
                <w:rFonts w:ascii="Times New Roman" w:eastAsiaTheme="minorEastAsia"/>
              </w:rPr>
            </w:pPr>
            <w:r>
              <w:rPr>
                <w:rFonts w:ascii="Times New Roman"/>
              </w:rPr>
              <w:t>制动</w:t>
            </w:r>
            <w:r>
              <w:rPr>
                <w:rFonts w:hint="eastAsia" w:ascii="Times New Roman" w:eastAsiaTheme="minorEastAsia"/>
                <w:sz w:val="28"/>
                <w:szCs w:val="28"/>
                <w:vertAlign w:val="superscript"/>
              </w:rPr>
              <w:t>c</w:t>
            </w:r>
          </w:p>
        </w:tc>
        <w:tc>
          <w:tcPr>
            <w:tcW w:w="2045" w:type="dxa"/>
            <w:vAlign w:val="center"/>
          </w:tcPr>
          <w:p>
            <w:pPr>
              <w:pStyle w:val="8"/>
              <w:widowControl w:val="0"/>
              <w:adjustRightInd w:val="0"/>
              <w:snapToGrid w:val="0"/>
              <w:ind w:firstLine="0" w:firstLineChars="0"/>
              <w:rPr>
                <w:rFonts w:ascii="Times New Roman"/>
              </w:rPr>
            </w:pPr>
            <w:r>
              <w:rPr>
                <w:rFonts w:ascii="Times New Roman"/>
              </w:rPr>
              <w:t>空载制动率</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666" w:type="dxa"/>
            <w:vMerge w:val="continue"/>
            <w:vAlign w:val="center"/>
          </w:tcPr>
          <w:p>
            <w:pPr>
              <w:pStyle w:val="8"/>
              <w:widowControl w:val="0"/>
              <w:adjustRightInd w:val="0"/>
              <w:snapToGrid w:val="0"/>
              <w:ind w:firstLine="0" w:firstLineChars="0"/>
              <w:rPr>
                <w:rFonts w:ascii="Times New Roman"/>
              </w:rPr>
            </w:pPr>
          </w:p>
        </w:tc>
        <w:tc>
          <w:tcPr>
            <w:tcW w:w="2045" w:type="dxa"/>
            <w:vAlign w:val="center"/>
          </w:tcPr>
          <w:p>
            <w:pPr>
              <w:pStyle w:val="8"/>
              <w:widowControl w:val="0"/>
              <w:adjustRightInd w:val="0"/>
              <w:snapToGrid w:val="0"/>
              <w:ind w:firstLine="0" w:firstLineChars="0"/>
              <w:rPr>
                <w:rFonts w:ascii="Times New Roman"/>
              </w:rPr>
            </w:pPr>
            <w:r>
              <w:rPr>
                <w:rFonts w:ascii="Times New Roman"/>
              </w:rPr>
              <w:t>空载制动不平衡率</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666" w:type="dxa"/>
            <w:vMerge w:val="continue"/>
            <w:vAlign w:val="center"/>
          </w:tcPr>
          <w:p>
            <w:pPr>
              <w:pStyle w:val="8"/>
              <w:widowControl w:val="0"/>
              <w:adjustRightInd w:val="0"/>
              <w:snapToGrid w:val="0"/>
              <w:ind w:firstLine="0" w:firstLineChars="0"/>
              <w:rPr>
                <w:rFonts w:ascii="Times New Roman"/>
              </w:rPr>
            </w:pPr>
          </w:p>
        </w:tc>
        <w:tc>
          <w:tcPr>
            <w:tcW w:w="2045" w:type="dxa"/>
            <w:vAlign w:val="center"/>
          </w:tcPr>
          <w:p>
            <w:pPr>
              <w:pStyle w:val="8"/>
              <w:widowControl w:val="0"/>
              <w:adjustRightInd w:val="0"/>
              <w:snapToGrid w:val="0"/>
              <w:ind w:firstLine="0" w:firstLineChars="0"/>
              <w:rPr>
                <w:rFonts w:ascii="Times New Roman"/>
              </w:rPr>
            </w:pPr>
            <w:r>
              <w:rPr>
                <w:rFonts w:ascii="Times New Roman"/>
              </w:rPr>
              <w:t>加载</w:t>
            </w:r>
            <w:r>
              <w:rPr>
                <w:rFonts w:hint="eastAsia" w:ascii="Times New Roman"/>
              </w:rPr>
              <w:t>轴</w:t>
            </w:r>
            <w:r>
              <w:rPr>
                <w:rFonts w:ascii="Times New Roman"/>
              </w:rPr>
              <w:t>制动率</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666" w:type="dxa"/>
            <w:vMerge w:val="continue"/>
            <w:vAlign w:val="center"/>
          </w:tcPr>
          <w:p>
            <w:pPr>
              <w:pStyle w:val="8"/>
              <w:widowControl w:val="0"/>
              <w:adjustRightInd w:val="0"/>
              <w:snapToGrid w:val="0"/>
              <w:ind w:firstLine="0" w:firstLineChars="0"/>
              <w:rPr>
                <w:rFonts w:ascii="Times New Roman"/>
              </w:rPr>
            </w:pPr>
          </w:p>
        </w:tc>
        <w:tc>
          <w:tcPr>
            <w:tcW w:w="2045" w:type="dxa"/>
            <w:vAlign w:val="center"/>
          </w:tcPr>
          <w:p>
            <w:pPr>
              <w:pStyle w:val="8"/>
              <w:widowControl w:val="0"/>
              <w:adjustRightInd w:val="0"/>
              <w:snapToGrid w:val="0"/>
              <w:ind w:right="-109" w:rightChars="-52" w:firstLine="0" w:firstLineChars="0"/>
              <w:rPr>
                <w:rFonts w:ascii="Times New Roman"/>
              </w:rPr>
            </w:pPr>
            <w:r>
              <w:rPr>
                <w:rFonts w:ascii="Times New Roman"/>
              </w:rPr>
              <w:t>加载</w:t>
            </w:r>
            <w:r>
              <w:rPr>
                <w:rFonts w:hint="eastAsia" w:ascii="Times New Roman"/>
              </w:rPr>
              <w:t>轴</w:t>
            </w:r>
            <w:r>
              <w:rPr>
                <w:rFonts w:ascii="Times New Roman"/>
              </w:rPr>
              <w:t>制动不平衡率</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eastAsiaTheme="minorEastAsia"/>
              </w:rPr>
            </w:pPr>
            <w:r>
              <w:rPr>
                <w:rFonts w:ascii="Times New Roman"/>
              </w:rPr>
              <w:t>驻车制动</w:t>
            </w:r>
            <w:r>
              <w:rPr>
                <w:rFonts w:hint="eastAsia" w:ascii="Times New Roman" w:eastAsiaTheme="minorEastAsia"/>
                <w:sz w:val="28"/>
                <w:vertAlign w:val="superscript"/>
              </w:rPr>
              <w:t>d</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tcPr>
          <w:p>
            <w:pPr>
              <w:jc w:val="center"/>
            </w:pPr>
            <w:r>
              <w:rPr>
                <w:rFonts w:hint="eastAsia" w:hAnsi="宋体"/>
              </w:rPr>
              <w:t>○</w:t>
            </w:r>
          </w:p>
        </w:tc>
        <w:tc>
          <w:tcPr>
            <w:tcW w:w="874" w:type="dxa"/>
            <w:shd w:val="clear" w:color="auto" w:fill="auto"/>
          </w:tcPr>
          <w:p>
            <w:pPr>
              <w:jc w:val="cente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tcBorders>
              <w:bottom w:val="single" w:color="auto" w:sz="4" w:space="0"/>
            </w:tcBorders>
            <w:vAlign w:val="center"/>
          </w:tcPr>
          <w:p>
            <w:pPr>
              <w:pStyle w:val="8"/>
              <w:widowControl w:val="0"/>
              <w:adjustRightInd w:val="0"/>
              <w:snapToGrid w:val="0"/>
              <w:ind w:firstLine="0" w:firstLineChars="0"/>
              <w:jc w:val="left"/>
              <w:rPr>
                <w:rFonts w:ascii="Times New Roman"/>
              </w:rPr>
            </w:pPr>
            <w:r>
              <w:rPr>
                <w:rFonts w:ascii="Times New Roman"/>
              </w:rPr>
              <w:t>前照灯远光发光强度</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转向轮横向侧滑量</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87"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65" w:hRule="atLeast"/>
          <w:jc w:val="center"/>
        </w:trPr>
        <w:tc>
          <w:tcPr>
            <w:tcW w:w="9570" w:type="dxa"/>
            <w:gridSpan w:val="10"/>
            <w:vAlign w:val="center"/>
          </w:tcPr>
          <w:p>
            <w:pPr>
              <w:pStyle w:val="10"/>
              <w:spacing w:line="240" w:lineRule="exact"/>
            </w:pPr>
            <w:r>
              <w:rPr>
                <w:rFonts w:hint="eastAsia" w:eastAsiaTheme="minorEastAsia"/>
              </w:rPr>
              <w:t>表中序号1-7的检验项目列入人工检验项目。</w:t>
            </w:r>
          </w:p>
          <w:p>
            <w:pPr>
              <w:pStyle w:val="10"/>
              <w:spacing w:line="240" w:lineRule="exact"/>
            </w:pPr>
            <w:r>
              <w:t>“</w:t>
            </w:r>
            <w:r>
              <w:rPr>
                <w:rFonts w:hint="eastAsia" w:hAnsi="宋体"/>
              </w:rPr>
              <w:t>●</w:t>
            </w:r>
            <w:r>
              <w:t>”表示该检验项目适用于该类车</w:t>
            </w:r>
            <w:r>
              <w:rPr>
                <w:rFonts w:hint="eastAsia" w:eastAsiaTheme="minorEastAsia"/>
              </w:rPr>
              <w:t>在用机动车安全检验</w:t>
            </w:r>
            <w:r>
              <w:t>的全部车型，“</w:t>
            </w:r>
            <w:r>
              <w:rPr>
                <w:rFonts w:hint="eastAsia" w:hAnsi="宋体"/>
              </w:rPr>
              <w:t>○</w:t>
            </w:r>
            <w:r>
              <w:t>”表示该检验项目适用于该类车</w:t>
            </w:r>
            <w:r>
              <w:rPr>
                <w:rFonts w:hint="eastAsia" w:eastAsiaTheme="minorEastAsia"/>
              </w:rPr>
              <w:t>在用机动车安全检验</w:t>
            </w:r>
            <w:r>
              <w:t>的部分车型</w:t>
            </w:r>
            <w:r>
              <w:rPr>
                <w:rFonts w:hint="eastAsia"/>
              </w:rPr>
              <w:t>。</w:t>
            </w:r>
          </w:p>
          <w:p>
            <w:pPr>
              <w:pStyle w:val="10"/>
              <w:spacing w:line="240" w:lineRule="exact"/>
              <w:rPr>
                <w:rFonts w:ascii="Times New Roman"/>
              </w:rPr>
            </w:pPr>
            <w:r>
              <w:t>对于</w:t>
            </w:r>
            <w:r>
              <w:rPr>
                <w:rFonts w:hint="eastAsia"/>
              </w:rPr>
              <w:t>适用</w:t>
            </w:r>
            <w:r>
              <w:t>车辆类型为“非营运小型、微型载客汽车”的，“</w:t>
            </w:r>
            <w:r>
              <w:rPr>
                <w:rFonts w:hint="eastAsia" w:hAnsi="宋体"/>
              </w:rPr>
              <w:t>○</w:t>
            </w:r>
            <w:r>
              <w:t>”</w:t>
            </w:r>
            <w:r>
              <w:rPr>
                <w:rFonts w:hint="eastAsia"/>
              </w:rPr>
              <w:t>对应的</w:t>
            </w:r>
            <w:r>
              <w:t>检验项目适用于</w:t>
            </w:r>
            <w:r>
              <w:rPr>
                <w:color w:val="000000"/>
              </w:rPr>
              <w:t>面包</w:t>
            </w:r>
            <w:r>
              <w:rPr>
                <w:rFonts w:ascii="Times New Roman"/>
                <w:color w:val="000000"/>
              </w:rPr>
              <w:t>车、7座及7座以上车辆，以及</w:t>
            </w:r>
            <w:r>
              <w:rPr>
                <w:rFonts w:ascii="Times New Roman"/>
              </w:rPr>
              <w:t>使用年限</w:t>
            </w:r>
            <w:r>
              <w:rPr>
                <w:rFonts w:ascii="Times New Roman"/>
                <w:color w:val="000000"/>
              </w:rPr>
              <w:t>超过10年的</w:t>
            </w:r>
            <w:r>
              <w:rPr>
                <w:rFonts w:ascii="Times New Roman"/>
              </w:rPr>
              <w:t>车辆。</w:t>
            </w:r>
          </w:p>
          <w:p>
            <w:pPr>
              <w:pStyle w:val="10"/>
              <w:spacing w:line="240" w:lineRule="exact"/>
            </w:pPr>
            <w:r>
              <w:t>对于</w:t>
            </w:r>
            <w:r>
              <w:rPr>
                <w:rFonts w:hint="eastAsia"/>
              </w:rPr>
              <w:t>适用</w:t>
            </w:r>
            <w:r>
              <w:t>车辆类型为“摩托车”的，“</w:t>
            </w:r>
            <w:r>
              <w:rPr>
                <w:rFonts w:hint="eastAsia" w:hAnsi="宋体"/>
              </w:rPr>
              <w:t>○</w:t>
            </w:r>
            <w:r>
              <w:t>”</w:t>
            </w:r>
            <w:r>
              <w:rPr>
                <w:rFonts w:hint="eastAsia"/>
              </w:rPr>
              <w:t>对应的</w:t>
            </w:r>
            <w:r>
              <w:t>该检验项目适用于带驾驶室的正三轮摩托车</w:t>
            </w:r>
            <w:r>
              <w:rPr>
                <w:rFonts w:hint="eastAsia"/>
              </w:rPr>
              <w:t>。</w:t>
            </w:r>
          </w:p>
          <w:p>
            <w:pPr>
              <w:pStyle w:val="10"/>
              <w:spacing w:line="240" w:lineRule="exact"/>
            </w:pPr>
            <w:r>
              <w:rPr>
                <w:rFonts w:hint="eastAsia"/>
              </w:rPr>
              <w:t>适用</w:t>
            </w:r>
            <w:r>
              <w:t>车辆类型</w:t>
            </w:r>
            <w:r>
              <w:rPr>
                <w:rFonts w:hint="eastAsia"/>
              </w:rPr>
              <w:t>为其他情形的，</w:t>
            </w:r>
            <w:r>
              <w:t>“</w:t>
            </w:r>
            <w:r>
              <w:rPr>
                <w:rFonts w:hint="eastAsia" w:hAnsi="宋体"/>
              </w:rPr>
              <w:t>○</w:t>
            </w:r>
            <w:r>
              <w:t>”</w:t>
            </w:r>
            <w:r>
              <w:rPr>
                <w:rFonts w:hint="eastAsia"/>
              </w:rPr>
              <w:t>对应的</w:t>
            </w:r>
            <w:r>
              <w:t>检验项目</w:t>
            </w:r>
            <w:r>
              <w:rPr>
                <w:rFonts w:hint="eastAsia"/>
              </w:rPr>
              <w:t>所</w:t>
            </w:r>
            <w:r>
              <w:t>适用的具体车型见第</w:t>
            </w:r>
            <w:r>
              <w:rPr>
                <w:rFonts w:ascii="Times New Roman"/>
              </w:rPr>
              <w:t>6章</w:t>
            </w:r>
            <w:r>
              <w:t>。</w:t>
            </w:r>
          </w:p>
          <w:p>
            <w:pPr>
              <w:pStyle w:val="10"/>
              <w:spacing w:line="240" w:lineRule="exact"/>
            </w:pPr>
            <w:r>
              <w:rPr>
                <w:rFonts w:hint="eastAsia"/>
              </w:rPr>
              <w:t>对于因更换发动机、车身或者车架申请变更登记的机动车检验时，参照在用机动车检验项目。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13" w:hRule="atLeast"/>
          <w:jc w:val="center"/>
        </w:trPr>
        <w:tc>
          <w:tcPr>
            <w:tcW w:w="9570" w:type="dxa"/>
            <w:gridSpan w:val="10"/>
            <w:vAlign w:val="center"/>
          </w:tcPr>
          <w:p>
            <w:pPr>
              <w:pStyle w:val="10"/>
              <w:numPr>
                <w:ilvl w:val="0"/>
                <w:numId w:val="0"/>
              </w:numPr>
              <w:spacing w:line="260" w:lineRule="exact"/>
              <w:ind w:left="503" w:leftChars="173" w:hanging="140" w:hangingChars="50"/>
              <w:rPr>
                <w:rFonts w:eastAsiaTheme="minorEastAsia"/>
              </w:rPr>
            </w:pPr>
            <w:r>
              <w:rPr>
                <w:rFonts w:hint="eastAsia"/>
                <w:sz w:val="28"/>
                <w:szCs w:val="28"/>
                <w:vertAlign w:val="superscript"/>
              </w:rPr>
              <w:t>a</w:t>
            </w:r>
            <w:r>
              <w:rPr>
                <w:sz w:val="28"/>
                <w:szCs w:val="28"/>
                <w:vertAlign w:val="superscript"/>
              </w:rPr>
              <w:t xml:space="preserve"> </w:t>
            </w:r>
            <w:r>
              <w:rPr>
                <w:rFonts w:hint="eastAsia" w:eastAsiaTheme="minorEastAsia"/>
              </w:rPr>
              <w:t>非营业的机动车是指个人或者单位不以获取利润为目的的而使用的机动车。</w:t>
            </w:r>
          </w:p>
          <w:p>
            <w:pPr>
              <w:pStyle w:val="10"/>
              <w:numPr>
                <w:ilvl w:val="0"/>
                <w:numId w:val="0"/>
              </w:numPr>
              <w:spacing w:line="260" w:lineRule="exact"/>
              <w:ind w:left="503" w:leftChars="173" w:hanging="140" w:hangingChars="50"/>
              <w:rPr>
                <w:rFonts w:eastAsiaTheme="minorEastAsia"/>
              </w:rPr>
            </w:pPr>
            <w:r>
              <w:rPr>
                <w:rFonts w:hint="eastAsia" w:eastAsiaTheme="minorEastAsia"/>
                <w:sz w:val="28"/>
                <w:szCs w:val="28"/>
                <w:vertAlign w:val="superscript"/>
              </w:rPr>
              <w:t>b</w:t>
            </w:r>
            <w:r>
              <w:rPr>
                <w:rFonts w:hint="eastAsia" w:eastAsiaTheme="minorEastAsia"/>
              </w:rPr>
              <w:t>自学用车还应检验副制动踏板和辅助后视镜。</w:t>
            </w:r>
          </w:p>
          <w:p>
            <w:pPr>
              <w:pStyle w:val="10"/>
              <w:numPr>
                <w:ilvl w:val="0"/>
                <w:numId w:val="0"/>
              </w:numPr>
              <w:spacing w:line="260" w:lineRule="exact"/>
              <w:ind w:left="503" w:leftChars="173" w:hanging="140" w:hangingChars="50"/>
              <w:rPr>
                <w:rFonts w:eastAsiaTheme="minorEastAsia"/>
              </w:rPr>
            </w:pPr>
            <w:r>
              <w:rPr>
                <w:rFonts w:hint="eastAsia" w:eastAsiaTheme="minorEastAsia"/>
                <w:sz w:val="28"/>
                <w:szCs w:val="28"/>
                <w:vertAlign w:val="superscript"/>
              </w:rPr>
              <w:t>c</w:t>
            </w:r>
            <w:r>
              <w:t>三轴及三轴以上的货车、</w:t>
            </w:r>
            <w:r>
              <w:rPr>
                <w:rFonts w:hint="eastAsia" w:eastAsiaTheme="minorEastAsia"/>
              </w:rPr>
              <w:t>总质量大于3500kg的</w:t>
            </w:r>
            <w:r>
              <w:t>并装双轴</w:t>
            </w:r>
            <w:r>
              <w:rPr>
                <w:rFonts w:hint="eastAsia" w:eastAsiaTheme="minorEastAsia"/>
              </w:rPr>
              <w:t>或</w:t>
            </w:r>
            <w:r>
              <w:t>并装三轴的挂车</w:t>
            </w:r>
            <w:r>
              <w:rPr>
                <w:rFonts w:hint="eastAsia"/>
              </w:rPr>
              <w:t>，对部分轴</w:t>
            </w:r>
            <w:r>
              <w:rPr>
                <w:rFonts w:hint="eastAsia" w:eastAsiaTheme="minorEastAsia"/>
              </w:rPr>
              <w:t>（最后一轴及货车第一轴除外）</w:t>
            </w:r>
            <w:r>
              <w:rPr>
                <w:rFonts w:hint="eastAsia"/>
              </w:rPr>
              <w:t>还</w:t>
            </w:r>
            <w:r>
              <w:rPr>
                <w:rFonts w:hint="eastAsia" w:eastAsiaTheme="minorEastAsia"/>
              </w:rPr>
              <w:t>应</w:t>
            </w:r>
            <w:r>
              <w:t>测试加载</w:t>
            </w:r>
            <w:r>
              <w:rPr>
                <w:rFonts w:hint="eastAsia"/>
              </w:rPr>
              <w:t>轴</w:t>
            </w:r>
            <w:r>
              <w:t>制动率和加载</w:t>
            </w:r>
            <w:r>
              <w:rPr>
                <w:rFonts w:hint="eastAsia"/>
              </w:rPr>
              <w:t>轴</w:t>
            </w:r>
            <w:r>
              <w:t>制动不平衡率。</w:t>
            </w:r>
            <w:r>
              <w:rPr>
                <w:rFonts w:hint="eastAsia" w:eastAsiaTheme="minorEastAsia"/>
              </w:rPr>
              <w:t>采用空气悬架的车辆，总质量为整备质量1.2倍以下的车辆不测试</w:t>
            </w:r>
            <w:r>
              <w:t>加载</w:t>
            </w:r>
            <w:r>
              <w:rPr>
                <w:rFonts w:hint="eastAsia"/>
              </w:rPr>
              <w:t>轴</w:t>
            </w:r>
            <w:r>
              <w:t>制动率和加载</w:t>
            </w:r>
            <w:r>
              <w:rPr>
                <w:rFonts w:hint="eastAsia"/>
              </w:rPr>
              <w:t>轴</w:t>
            </w:r>
            <w:r>
              <w:t>制动不平衡率。</w:t>
            </w:r>
          </w:p>
          <w:p>
            <w:pPr>
              <w:pStyle w:val="10"/>
              <w:numPr>
                <w:ilvl w:val="0"/>
                <w:numId w:val="0"/>
              </w:numPr>
              <w:spacing w:line="260" w:lineRule="exact"/>
              <w:ind w:left="811" w:hanging="448"/>
              <w:rPr>
                <w:rFonts w:eastAsiaTheme="minorEastAsia"/>
              </w:rPr>
            </w:pPr>
            <w:r>
              <w:rPr>
                <w:rFonts w:hint="eastAsia" w:eastAsiaTheme="minorEastAsia"/>
                <w:sz w:val="28"/>
                <w:szCs w:val="28"/>
                <w:vertAlign w:val="superscript"/>
              </w:rPr>
              <w:t>d</w:t>
            </w:r>
            <w:r>
              <w:rPr>
                <w:rFonts w:hint="eastAsia" w:eastAsiaTheme="minorEastAsia"/>
              </w:rPr>
              <w:t>驻车制动使用电子控制装置的汽车，不检验驻车制动。</w:t>
            </w:r>
          </w:p>
        </w:tc>
      </w:tr>
    </w:tbl>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pStyle w:val="11"/>
        <w:tabs>
          <w:tab w:val="clear" w:pos="720"/>
        </w:tabs>
        <w:spacing w:before="156" w:after="156"/>
        <w:ind w:left="0" w:firstLine="0"/>
        <w:rPr>
          <w:rFonts w:hint="eastAsia" w:hAnsi="黑体" w:eastAsiaTheme="minorEastAsia"/>
        </w:rPr>
      </w:pPr>
      <w:r>
        <w:rPr>
          <w:rFonts w:hint="eastAsia" w:hAnsi="黑体"/>
          <w:kern w:val="2"/>
          <w:szCs w:val="24"/>
        </w:rPr>
        <w:t>表</w:t>
      </w:r>
      <w:r>
        <w:rPr>
          <w:rFonts w:hint="eastAsia" w:hAnsi="黑体" w:eastAsiaTheme="minorEastAsia"/>
          <w:kern w:val="2"/>
          <w:szCs w:val="24"/>
        </w:rPr>
        <w:t>2</w:t>
      </w:r>
      <w:r>
        <w:rPr>
          <w:rFonts w:hint="eastAsia" w:hAnsi="黑体"/>
          <w:kern w:val="2"/>
          <w:szCs w:val="24"/>
        </w:rPr>
        <w:t xml:space="preserve">  </w:t>
      </w:r>
      <w:r>
        <w:rPr>
          <w:rFonts w:hint="eastAsia" w:hAnsi="黑体"/>
        </w:rPr>
        <w:t>机动车安全技术检验项目表</w:t>
      </w:r>
      <w:r>
        <w:rPr>
          <w:rFonts w:hint="eastAsia" w:hAnsi="黑体" w:eastAsiaTheme="minorEastAsia"/>
        </w:rPr>
        <w:t>（注册登记安全检验）</w:t>
      </w:r>
    </w:p>
    <w:tbl>
      <w:tblPr>
        <w:tblStyle w:val="4"/>
        <w:tblW w:w="101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134"/>
        <w:gridCol w:w="3402"/>
        <w:gridCol w:w="1134"/>
        <w:gridCol w:w="992"/>
        <w:gridCol w:w="992"/>
        <w:gridCol w:w="709"/>
        <w:gridCol w:w="567"/>
        <w:gridCol w:w="5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666" w:type="dxa"/>
            <w:vMerge w:val="restart"/>
            <w:vAlign w:val="center"/>
          </w:tcPr>
          <w:p>
            <w:pPr>
              <w:pStyle w:val="8"/>
              <w:widowControl w:val="0"/>
              <w:adjustRightInd w:val="0"/>
              <w:snapToGrid w:val="0"/>
              <w:ind w:firstLine="0" w:firstLineChars="0"/>
              <w:jc w:val="center"/>
              <w:rPr>
                <w:rFonts w:ascii="Times New Roman"/>
              </w:rPr>
            </w:pPr>
            <w:r>
              <w:rPr>
                <w:rFonts w:ascii="Times New Roman"/>
              </w:rPr>
              <w:t>序号</w:t>
            </w:r>
          </w:p>
        </w:tc>
        <w:tc>
          <w:tcPr>
            <w:tcW w:w="4536" w:type="dxa"/>
            <w:gridSpan w:val="2"/>
            <w:vMerge w:val="restart"/>
            <w:vAlign w:val="center"/>
          </w:tcPr>
          <w:p>
            <w:pPr>
              <w:pStyle w:val="8"/>
              <w:widowControl w:val="0"/>
              <w:adjustRightInd w:val="0"/>
              <w:snapToGrid w:val="0"/>
              <w:ind w:firstLine="0" w:firstLineChars="0"/>
              <w:jc w:val="center"/>
              <w:rPr>
                <w:rFonts w:ascii="Times New Roman"/>
              </w:rPr>
            </w:pPr>
            <w:r>
              <w:rPr>
                <w:rFonts w:ascii="Times New Roman"/>
              </w:rPr>
              <w:t>检 验 项 目</w:t>
            </w:r>
          </w:p>
        </w:tc>
        <w:tc>
          <w:tcPr>
            <w:tcW w:w="4915" w:type="dxa"/>
            <w:gridSpan w:val="6"/>
            <w:vAlign w:val="center"/>
          </w:tcPr>
          <w:p>
            <w:pPr>
              <w:pStyle w:val="8"/>
              <w:widowControl w:val="0"/>
              <w:adjustRightInd w:val="0"/>
              <w:snapToGrid w:val="0"/>
              <w:ind w:firstLine="0" w:firstLineChars="0"/>
              <w:jc w:val="center"/>
              <w:rPr>
                <w:rFonts w:ascii="Times New Roman"/>
              </w:rPr>
            </w:pPr>
            <w:r>
              <w:rPr>
                <w:rFonts w:ascii="Times New Roman"/>
              </w:rPr>
              <w:t>适用</w:t>
            </w:r>
            <w:r>
              <w:rPr>
                <w:rFonts w:hint="eastAsia" w:ascii="Times New Roman"/>
              </w:rPr>
              <w:t>车辆类型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4536" w:type="dxa"/>
            <w:gridSpan w:val="2"/>
            <w:vMerge w:val="continue"/>
            <w:vAlign w:val="center"/>
          </w:tcPr>
          <w:p>
            <w:pPr>
              <w:pStyle w:val="8"/>
              <w:widowControl w:val="0"/>
              <w:adjustRightInd w:val="0"/>
              <w:snapToGrid w:val="0"/>
              <w:jc w:val="center"/>
              <w:rPr>
                <w:rFonts w:ascii="Times New Roman"/>
              </w:rPr>
            </w:pPr>
          </w:p>
        </w:tc>
        <w:tc>
          <w:tcPr>
            <w:tcW w:w="2126" w:type="dxa"/>
            <w:gridSpan w:val="2"/>
            <w:shd w:val="clear" w:color="auto" w:fill="auto"/>
            <w:vAlign w:val="center"/>
          </w:tcPr>
          <w:p>
            <w:pPr>
              <w:pStyle w:val="8"/>
              <w:widowControl w:val="0"/>
              <w:adjustRightInd w:val="0"/>
              <w:snapToGrid w:val="0"/>
              <w:ind w:left="-59" w:leftChars="-28" w:firstLine="0" w:firstLineChars="0"/>
              <w:jc w:val="center"/>
              <w:rPr>
                <w:rFonts w:ascii="Times New Roman"/>
              </w:rPr>
            </w:pPr>
            <w:r>
              <w:rPr>
                <w:rFonts w:ascii="Times New Roman"/>
              </w:rPr>
              <w:t>载客汽车</w:t>
            </w:r>
          </w:p>
        </w:tc>
        <w:tc>
          <w:tcPr>
            <w:tcW w:w="992" w:type="dxa"/>
            <w:vMerge w:val="restart"/>
            <w:shd w:val="clear" w:color="auto" w:fill="auto"/>
            <w:vAlign w:val="center"/>
          </w:tcPr>
          <w:p>
            <w:pPr>
              <w:pStyle w:val="8"/>
              <w:widowControl w:val="0"/>
              <w:adjustRightInd w:val="0"/>
              <w:snapToGrid w:val="0"/>
              <w:ind w:left="-103" w:leftChars="-49" w:right="-94" w:rightChars="-45" w:firstLine="0" w:firstLineChars="0"/>
              <w:jc w:val="center"/>
              <w:rPr>
                <w:rFonts w:ascii="Times New Roman"/>
              </w:rPr>
            </w:pPr>
            <w:r>
              <w:rPr>
                <w:rFonts w:ascii="Times New Roman"/>
              </w:rPr>
              <w:t>货车（三轮汽车除外）、专项作业车</w:t>
            </w:r>
          </w:p>
        </w:tc>
        <w:tc>
          <w:tcPr>
            <w:tcW w:w="709" w:type="dxa"/>
            <w:vMerge w:val="restart"/>
            <w:shd w:val="clear" w:color="auto" w:fill="auto"/>
            <w:vAlign w:val="center"/>
          </w:tcPr>
          <w:p>
            <w:pPr>
              <w:pStyle w:val="8"/>
              <w:widowControl w:val="0"/>
              <w:adjustRightInd w:val="0"/>
              <w:snapToGrid w:val="0"/>
              <w:ind w:firstLine="0" w:firstLineChars="0"/>
              <w:jc w:val="center"/>
              <w:rPr>
                <w:rFonts w:ascii="Times New Roman"/>
              </w:rPr>
            </w:pPr>
            <w:r>
              <w:rPr>
                <w:rFonts w:ascii="Times New Roman"/>
              </w:rPr>
              <w:t>挂车</w:t>
            </w:r>
          </w:p>
        </w:tc>
        <w:tc>
          <w:tcPr>
            <w:tcW w:w="567" w:type="dxa"/>
            <w:vMerge w:val="restart"/>
            <w:vAlign w:val="center"/>
          </w:tcPr>
          <w:p>
            <w:pPr>
              <w:pStyle w:val="8"/>
              <w:widowControl w:val="0"/>
              <w:adjustRightInd w:val="0"/>
              <w:snapToGrid w:val="0"/>
              <w:ind w:firstLine="0" w:firstLineChars="0"/>
              <w:jc w:val="center"/>
              <w:rPr>
                <w:rFonts w:ascii="Times New Roman"/>
              </w:rPr>
            </w:pPr>
            <w:r>
              <w:rPr>
                <w:rFonts w:ascii="Times New Roman"/>
              </w:rPr>
              <w:t>三轮</w:t>
            </w:r>
          </w:p>
          <w:p>
            <w:pPr>
              <w:pStyle w:val="8"/>
              <w:widowControl w:val="0"/>
              <w:adjustRightInd w:val="0"/>
              <w:snapToGrid w:val="0"/>
              <w:ind w:firstLine="0" w:firstLineChars="0"/>
              <w:jc w:val="center"/>
              <w:rPr>
                <w:rFonts w:ascii="Times New Roman"/>
              </w:rPr>
            </w:pPr>
            <w:r>
              <w:rPr>
                <w:rFonts w:ascii="Times New Roman"/>
              </w:rPr>
              <w:t>汽车</w:t>
            </w:r>
          </w:p>
        </w:tc>
        <w:tc>
          <w:tcPr>
            <w:tcW w:w="521" w:type="dxa"/>
            <w:vMerge w:val="restart"/>
            <w:shd w:val="clear" w:color="auto" w:fill="auto"/>
            <w:vAlign w:val="center"/>
          </w:tcPr>
          <w:p>
            <w:pPr>
              <w:pStyle w:val="8"/>
              <w:widowControl w:val="0"/>
              <w:adjustRightInd w:val="0"/>
              <w:snapToGrid w:val="0"/>
              <w:ind w:firstLine="0" w:firstLineChars="0"/>
              <w:jc w:val="center"/>
              <w:rPr>
                <w:rFonts w:ascii="Times New Roman"/>
              </w:rPr>
            </w:pPr>
            <w:r>
              <w:rPr>
                <w:rFonts w:ascii="Times New Roman"/>
              </w:rPr>
              <w:t>摩托车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66" w:type="dxa"/>
            <w:vMerge w:val="continue"/>
            <w:tcBorders>
              <w:bottom w:val="single" w:color="auto" w:sz="4" w:space="0"/>
            </w:tcBorders>
            <w:vAlign w:val="center"/>
          </w:tcPr>
          <w:p>
            <w:pPr>
              <w:pStyle w:val="8"/>
              <w:widowControl w:val="0"/>
              <w:adjustRightInd w:val="0"/>
              <w:snapToGrid w:val="0"/>
              <w:ind w:firstLine="0" w:firstLineChars="0"/>
              <w:jc w:val="center"/>
              <w:rPr>
                <w:rFonts w:ascii="Times New Roman"/>
                <w:b/>
              </w:rPr>
            </w:pPr>
          </w:p>
        </w:tc>
        <w:tc>
          <w:tcPr>
            <w:tcW w:w="4536" w:type="dxa"/>
            <w:gridSpan w:val="2"/>
            <w:vMerge w:val="continue"/>
            <w:tcBorders>
              <w:bottom w:val="single" w:color="auto" w:sz="4" w:space="0"/>
            </w:tcBorders>
            <w:vAlign w:val="center"/>
          </w:tcPr>
          <w:p>
            <w:pPr>
              <w:pStyle w:val="8"/>
              <w:widowControl w:val="0"/>
              <w:adjustRightInd w:val="0"/>
              <w:snapToGrid w:val="0"/>
              <w:ind w:firstLine="422" w:firstLineChars="0"/>
              <w:jc w:val="center"/>
              <w:rPr>
                <w:rFonts w:ascii="Times New Roman"/>
              </w:rPr>
            </w:pPr>
          </w:p>
        </w:tc>
        <w:tc>
          <w:tcPr>
            <w:tcW w:w="1134" w:type="dxa"/>
            <w:shd w:val="clear" w:color="auto" w:fill="auto"/>
            <w:vAlign w:val="center"/>
          </w:tcPr>
          <w:p>
            <w:pPr>
              <w:pStyle w:val="8"/>
              <w:widowControl w:val="0"/>
              <w:adjustRightInd w:val="0"/>
              <w:snapToGrid w:val="0"/>
              <w:ind w:left="-103" w:leftChars="-49" w:right="-94" w:rightChars="-45" w:firstLine="0" w:firstLineChars="0"/>
              <w:jc w:val="center"/>
              <w:rPr>
                <w:rFonts w:ascii="Times New Roman" w:eastAsiaTheme="minorEastAsia"/>
              </w:rPr>
            </w:pPr>
            <w:r>
              <w:rPr>
                <w:rFonts w:ascii="Times New Roman"/>
              </w:rPr>
              <w:t>非营运</w:t>
            </w:r>
            <w:r>
              <w:rPr>
                <w:rFonts w:hint="eastAsia" w:ascii="Times New Roman" w:eastAsiaTheme="minorEastAsia"/>
                <w:sz w:val="28"/>
                <w:szCs w:val="28"/>
                <w:vertAlign w:val="superscript"/>
              </w:rPr>
              <w:t>a</w:t>
            </w:r>
          </w:p>
          <w:p>
            <w:pPr>
              <w:pStyle w:val="8"/>
              <w:widowControl w:val="0"/>
              <w:adjustRightInd w:val="0"/>
              <w:snapToGrid w:val="0"/>
              <w:ind w:left="-103" w:leftChars="-49" w:right="-94" w:rightChars="-45" w:firstLine="0" w:firstLineChars="0"/>
              <w:jc w:val="center"/>
              <w:rPr>
                <w:rFonts w:ascii="Times New Roman"/>
                <w:b/>
              </w:rPr>
            </w:pPr>
            <w:r>
              <w:rPr>
                <w:rFonts w:ascii="Times New Roman"/>
              </w:rPr>
              <w:t>小型、微型载客汽车</w:t>
            </w:r>
          </w:p>
        </w:tc>
        <w:tc>
          <w:tcPr>
            <w:tcW w:w="992" w:type="dxa"/>
            <w:shd w:val="clear" w:color="auto" w:fill="auto"/>
            <w:vAlign w:val="center"/>
          </w:tcPr>
          <w:p>
            <w:pPr>
              <w:pStyle w:val="8"/>
              <w:widowControl w:val="0"/>
              <w:adjustRightInd w:val="0"/>
              <w:snapToGrid w:val="0"/>
              <w:ind w:left="-59" w:leftChars="-28" w:firstLine="0" w:firstLineChars="0"/>
              <w:jc w:val="center"/>
              <w:rPr>
                <w:rFonts w:ascii="Times New Roman"/>
              </w:rPr>
            </w:pPr>
            <w:r>
              <w:rPr>
                <w:rFonts w:ascii="Times New Roman"/>
              </w:rPr>
              <w:t>其它类型载客汽车</w:t>
            </w:r>
          </w:p>
        </w:tc>
        <w:tc>
          <w:tcPr>
            <w:tcW w:w="992" w:type="dxa"/>
            <w:vMerge w:val="continue"/>
            <w:shd w:val="clear" w:color="auto" w:fill="auto"/>
            <w:vAlign w:val="center"/>
          </w:tcPr>
          <w:p>
            <w:pPr>
              <w:pStyle w:val="8"/>
              <w:widowControl w:val="0"/>
              <w:adjustRightInd w:val="0"/>
              <w:snapToGrid w:val="0"/>
              <w:ind w:left="-59" w:leftChars="-28" w:firstLine="0" w:firstLineChars="0"/>
              <w:jc w:val="center"/>
              <w:rPr>
                <w:rFonts w:ascii="Times New Roman"/>
              </w:rPr>
            </w:pPr>
          </w:p>
        </w:tc>
        <w:tc>
          <w:tcPr>
            <w:tcW w:w="709" w:type="dxa"/>
            <w:vMerge w:val="continue"/>
            <w:shd w:val="clear" w:color="auto" w:fill="auto"/>
            <w:vAlign w:val="center"/>
          </w:tcPr>
          <w:p>
            <w:pPr>
              <w:pStyle w:val="8"/>
              <w:widowControl w:val="0"/>
              <w:adjustRightInd w:val="0"/>
              <w:snapToGrid w:val="0"/>
              <w:ind w:firstLine="0" w:firstLineChars="0"/>
              <w:jc w:val="center"/>
              <w:rPr>
                <w:rFonts w:ascii="Times New Roman"/>
              </w:rPr>
            </w:pPr>
          </w:p>
        </w:tc>
        <w:tc>
          <w:tcPr>
            <w:tcW w:w="567" w:type="dxa"/>
            <w:vMerge w:val="continue"/>
          </w:tcPr>
          <w:p>
            <w:pPr>
              <w:pStyle w:val="8"/>
              <w:widowControl w:val="0"/>
              <w:adjustRightInd w:val="0"/>
              <w:snapToGrid w:val="0"/>
              <w:ind w:firstLine="0" w:firstLineChars="0"/>
              <w:jc w:val="center"/>
              <w:rPr>
                <w:rFonts w:ascii="Times New Roman"/>
              </w:rPr>
            </w:pPr>
          </w:p>
        </w:tc>
        <w:tc>
          <w:tcPr>
            <w:tcW w:w="521" w:type="dxa"/>
            <w:vMerge w:val="continue"/>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666" w:type="dxa"/>
            <w:vAlign w:val="center"/>
          </w:tcPr>
          <w:p>
            <w:pPr>
              <w:pStyle w:val="8"/>
              <w:widowControl w:val="0"/>
              <w:adjustRightInd w:val="0"/>
              <w:snapToGrid w:val="0"/>
              <w:ind w:firstLine="0" w:firstLineChars="0"/>
              <w:jc w:val="center"/>
              <w:rPr>
                <w:rFonts w:ascii="Times New Roman"/>
              </w:rPr>
            </w:pPr>
            <w:r>
              <w:rPr>
                <w:rFonts w:hint="eastAsia" w:ascii="Times New Roman"/>
              </w:rPr>
              <w:t>1</w:t>
            </w:r>
          </w:p>
        </w:tc>
        <w:tc>
          <w:tcPr>
            <w:tcW w:w="1134" w:type="dxa"/>
            <w:vAlign w:val="center"/>
          </w:tcPr>
          <w:p>
            <w:pPr>
              <w:pStyle w:val="8"/>
              <w:widowControl w:val="0"/>
              <w:adjustRightInd w:val="0"/>
              <w:snapToGrid w:val="0"/>
              <w:ind w:firstLine="0" w:firstLineChars="0"/>
              <w:rPr>
                <w:rFonts w:ascii="Times New Roman"/>
              </w:rPr>
            </w:pPr>
            <w:r>
              <w:rPr>
                <w:rFonts w:ascii="Times New Roman"/>
              </w:rPr>
              <w:t>联网查询</w:t>
            </w:r>
          </w:p>
        </w:tc>
        <w:tc>
          <w:tcPr>
            <w:tcW w:w="3402" w:type="dxa"/>
            <w:vAlign w:val="center"/>
          </w:tcPr>
          <w:p>
            <w:pPr>
              <w:pStyle w:val="8"/>
              <w:widowControl w:val="0"/>
              <w:adjustRightInd w:val="0"/>
              <w:snapToGrid w:val="0"/>
              <w:ind w:firstLine="0" w:firstLineChars="0"/>
              <w:jc w:val="left"/>
              <w:rPr>
                <w:rFonts w:ascii="Times New Roman" w:eastAsiaTheme="minorEastAsia"/>
                <w:sz w:val="18"/>
                <w:szCs w:val="18"/>
              </w:rPr>
            </w:pPr>
            <w:r>
              <w:rPr>
                <w:rFonts w:hint="eastAsia" w:ascii="Times New Roman" w:eastAsiaTheme="minorEastAsia"/>
                <w:sz w:val="18"/>
                <w:szCs w:val="18"/>
              </w:rPr>
              <w:t>车辆事故、违法、安全缺陷召回等信息</w:t>
            </w:r>
          </w:p>
        </w:tc>
        <w:tc>
          <w:tcPr>
            <w:tcW w:w="1134"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7" w:hRule="exact"/>
          <w:jc w:val="center"/>
        </w:trPr>
        <w:tc>
          <w:tcPr>
            <w:tcW w:w="666" w:type="dxa"/>
            <w:vMerge w:val="restart"/>
            <w:vAlign w:val="center"/>
          </w:tcPr>
          <w:p>
            <w:pPr>
              <w:pStyle w:val="8"/>
              <w:widowControl w:val="0"/>
              <w:adjustRightInd w:val="0"/>
              <w:snapToGrid w:val="0"/>
              <w:ind w:firstLine="210" w:firstLineChars="100"/>
              <w:rPr>
                <w:rFonts w:ascii="Times New Roman"/>
              </w:rPr>
            </w:pPr>
            <w:r>
              <w:rPr>
                <w:rFonts w:ascii="Times New Roman"/>
              </w:rPr>
              <w:t>2</w:t>
            </w:r>
          </w:p>
        </w:tc>
        <w:tc>
          <w:tcPr>
            <w:tcW w:w="1134" w:type="dxa"/>
            <w:vMerge w:val="restart"/>
            <w:vAlign w:val="center"/>
          </w:tcPr>
          <w:p>
            <w:pPr>
              <w:pStyle w:val="8"/>
              <w:widowControl w:val="0"/>
              <w:adjustRightInd w:val="0"/>
              <w:snapToGrid w:val="0"/>
              <w:ind w:firstLine="0" w:firstLineChars="0"/>
              <w:rPr>
                <w:rFonts w:ascii="Times New Roman"/>
              </w:rPr>
            </w:pPr>
            <w:r>
              <w:rPr>
                <w:rFonts w:ascii="Times New Roman"/>
              </w:rPr>
              <w:t>车辆唯一性检查</w:t>
            </w:r>
          </w:p>
        </w:tc>
        <w:tc>
          <w:tcPr>
            <w:tcW w:w="3402" w:type="dxa"/>
            <w:vAlign w:val="center"/>
          </w:tcPr>
          <w:p>
            <w:pPr>
              <w:pStyle w:val="8"/>
              <w:widowControl w:val="0"/>
              <w:adjustRightInd w:val="0"/>
              <w:snapToGrid w:val="0"/>
              <w:ind w:firstLine="0" w:firstLineChars="0"/>
              <w:jc w:val="left"/>
              <w:rPr>
                <w:rFonts w:ascii="Times New Roman"/>
              </w:rPr>
            </w:pPr>
            <w:r>
              <w:rPr>
                <w:rFonts w:ascii="Times New Roman"/>
              </w:rPr>
              <w:t>车辆品牌/型号</w:t>
            </w:r>
          </w:p>
        </w:tc>
        <w:tc>
          <w:tcPr>
            <w:tcW w:w="1134"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8" w:hRule="exact"/>
          <w:jc w:val="center"/>
        </w:trPr>
        <w:tc>
          <w:tcPr>
            <w:tcW w:w="666" w:type="dxa"/>
            <w:vMerge w:val="continue"/>
            <w:vAlign w:val="center"/>
          </w:tcPr>
          <w:p>
            <w:pPr>
              <w:pStyle w:val="8"/>
              <w:widowControl w:val="0"/>
              <w:adjustRightInd w:val="0"/>
              <w:snapToGrid w:val="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rPr>
            </w:pPr>
            <w:r>
              <w:rPr>
                <w:rFonts w:ascii="Times New Roman"/>
              </w:rPr>
              <w:t>车辆识别代号（或整车出厂编号）</w:t>
            </w:r>
          </w:p>
        </w:tc>
        <w:tc>
          <w:tcPr>
            <w:tcW w:w="1134"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3" w:hRule="exact"/>
          <w:jc w:val="center"/>
        </w:trPr>
        <w:tc>
          <w:tcPr>
            <w:tcW w:w="666" w:type="dxa"/>
            <w:vMerge w:val="continue"/>
            <w:vAlign w:val="center"/>
          </w:tcPr>
          <w:p>
            <w:pPr>
              <w:pStyle w:val="8"/>
              <w:widowControl w:val="0"/>
              <w:adjustRightInd w:val="0"/>
              <w:snapToGrid w:val="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rPr>
            </w:pPr>
            <w:r>
              <w:rPr>
                <w:rFonts w:ascii="Times New Roman"/>
              </w:rPr>
              <w:t>发动机号码（或电动机号码）</w:t>
            </w:r>
          </w:p>
        </w:tc>
        <w:tc>
          <w:tcPr>
            <w:tcW w:w="1134"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666" w:type="dxa"/>
            <w:vMerge w:val="continue"/>
            <w:vAlign w:val="center"/>
          </w:tcPr>
          <w:p>
            <w:pPr>
              <w:pStyle w:val="8"/>
              <w:widowControl w:val="0"/>
              <w:adjustRightInd w:val="0"/>
              <w:snapToGrid w:val="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rPr>
            </w:pPr>
            <w:r>
              <w:rPr>
                <w:rFonts w:ascii="Times New Roman"/>
              </w:rPr>
              <w:t>车辆颜色和外形</w:t>
            </w:r>
          </w:p>
        </w:tc>
        <w:tc>
          <w:tcPr>
            <w:tcW w:w="1134"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restart"/>
            <w:vAlign w:val="center"/>
          </w:tcPr>
          <w:p>
            <w:pPr>
              <w:pStyle w:val="8"/>
              <w:widowControl w:val="0"/>
              <w:adjustRightInd w:val="0"/>
              <w:snapToGrid w:val="0"/>
              <w:ind w:firstLine="0" w:firstLineChars="0"/>
              <w:jc w:val="center"/>
              <w:rPr>
                <w:rFonts w:ascii="Times New Roman"/>
              </w:rPr>
            </w:pPr>
            <w:r>
              <w:rPr>
                <w:rFonts w:ascii="Times New Roman"/>
              </w:rPr>
              <w:t>3</w:t>
            </w:r>
          </w:p>
        </w:tc>
        <w:tc>
          <w:tcPr>
            <w:tcW w:w="1134" w:type="dxa"/>
            <w:vMerge w:val="restart"/>
            <w:vAlign w:val="center"/>
          </w:tcPr>
          <w:p>
            <w:pPr>
              <w:pStyle w:val="8"/>
              <w:widowControl w:val="0"/>
              <w:adjustRightInd w:val="0"/>
              <w:snapToGrid w:val="0"/>
              <w:ind w:firstLine="0" w:firstLineChars="0"/>
              <w:jc w:val="center"/>
              <w:rPr>
                <w:rFonts w:ascii="Times New Roman"/>
              </w:rPr>
            </w:pPr>
            <w:r>
              <w:rPr>
                <w:rFonts w:ascii="Times New Roman"/>
              </w:rPr>
              <w:t>车辆特征参数检查</w:t>
            </w:r>
          </w:p>
        </w:tc>
        <w:tc>
          <w:tcPr>
            <w:tcW w:w="3402" w:type="dxa"/>
            <w:vAlign w:val="center"/>
          </w:tcPr>
          <w:p>
            <w:pPr>
              <w:pStyle w:val="8"/>
              <w:widowControl w:val="0"/>
              <w:adjustRightInd w:val="0"/>
              <w:snapToGrid w:val="0"/>
              <w:ind w:firstLine="0" w:firstLineChars="0"/>
              <w:jc w:val="left"/>
              <w:rPr>
                <w:rFonts w:ascii="Times New Roman"/>
              </w:rPr>
            </w:pPr>
            <w:r>
              <w:rPr>
                <w:rFonts w:ascii="Times New Roman"/>
              </w:rPr>
              <w:t>外廓尺寸</w:t>
            </w:r>
          </w:p>
        </w:tc>
        <w:tc>
          <w:tcPr>
            <w:tcW w:w="1134" w:type="dxa"/>
            <w:vAlign w:val="center"/>
          </w:tcPr>
          <w:p>
            <w:pPr>
              <w:pStyle w:val="8"/>
              <w:widowControl w:val="0"/>
              <w:adjustRightInd w:val="0"/>
              <w:snapToGrid w:val="0"/>
              <w:ind w:firstLine="0" w:firstLineChars="0"/>
              <w:jc w:val="center"/>
              <w:rPr>
                <w:rFonts w:ascii="Times New Roman" w:eastAsiaTheme="minorEastAsia"/>
              </w:rPr>
            </w:pP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vAlign w:val="center"/>
          </w:tcPr>
          <w:p>
            <w:pPr>
              <w:adjustRightInd w:val="0"/>
              <w:snapToGrid w:val="0"/>
              <w:jc w:val="cente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eastAsiaTheme="minorEastAsia"/>
              </w:rPr>
            </w:pPr>
            <w:r>
              <w:rPr>
                <w:rFonts w:hint="eastAsia" w:ascii="Times New Roman" w:eastAsiaTheme="minorEastAsia"/>
              </w:rPr>
              <w:t>轴距</w:t>
            </w:r>
          </w:p>
        </w:tc>
        <w:tc>
          <w:tcPr>
            <w:tcW w:w="1134"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vAlign w:val="center"/>
          </w:tcPr>
          <w:p>
            <w:pPr>
              <w:adjustRightInd w:val="0"/>
              <w:snapToGrid w:val="0"/>
              <w:jc w:val="center"/>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eastAsiaTheme="minorEastAsia"/>
              </w:rPr>
            </w:pPr>
            <w:r>
              <w:rPr>
                <w:rFonts w:ascii="Times New Roman"/>
              </w:rPr>
              <w:t>核定载人数</w:t>
            </w:r>
            <w:r>
              <w:rPr>
                <w:rFonts w:hint="eastAsia" w:ascii="Times New Roman" w:eastAsiaTheme="minorEastAsia"/>
              </w:rPr>
              <w:t>和座椅布置</w:t>
            </w:r>
          </w:p>
        </w:tc>
        <w:tc>
          <w:tcPr>
            <w:tcW w:w="1134"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vAlign w:val="center"/>
          </w:tcPr>
          <w:p>
            <w:pPr>
              <w:adjustRightInd w:val="0"/>
              <w:snapToGrid w:val="0"/>
              <w:jc w:val="center"/>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rPr>
            </w:pPr>
            <w:r>
              <w:rPr>
                <w:rFonts w:ascii="Times New Roman"/>
              </w:rPr>
              <w:t>栏板高度</w:t>
            </w:r>
          </w:p>
        </w:tc>
        <w:tc>
          <w:tcPr>
            <w:tcW w:w="1134"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vAlign w:val="center"/>
          </w:tcPr>
          <w:p>
            <w:pPr>
              <w:pStyle w:val="8"/>
              <w:widowControl w:val="0"/>
              <w:adjustRightInd w:val="0"/>
              <w:snapToGrid w:val="0"/>
              <w:ind w:firstLine="0" w:firstLineChars="0"/>
              <w:jc w:val="center"/>
              <w:rPr>
                <w:rFonts w:ascii="Times New Roman"/>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eastAsiaTheme="minorEastAsia"/>
              </w:rPr>
            </w:pPr>
            <w:r>
              <w:rPr>
                <w:rFonts w:hint="eastAsia" w:ascii="Times New Roman" w:eastAsiaTheme="minorEastAsia"/>
              </w:rPr>
              <w:t>悬架</w:t>
            </w:r>
          </w:p>
        </w:tc>
        <w:tc>
          <w:tcPr>
            <w:tcW w:w="1134"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eastAsiaTheme="minorEastAsia"/>
              </w:rPr>
            </w:pPr>
            <w:r>
              <w:rPr>
                <w:rFonts w:ascii="Times New Roman"/>
              </w:rPr>
              <w:t>客车出口</w:t>
            </w:r>
          </w:p>
        </w:tc>
        <w:tc>
          <w:tcPr>
            <w:tcW w:w="1134"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hAnsi="宋体"/>
              </w:rPr>
            </w:pPr>
          </w:p>
        </w:tc>
        <w:tc>
          <w:tcPr>
            <w:tcW w:w="709" w:type="dxa"/>
            <w:vAlign w:val="center"/>
          </w:tcPr>
          <w:p>
            <w:pPr>
              <w:pStyle w:val="8"/>
              <w:widowControl w:val="0"/>
              <w:adjustRightInd w:val="0"/>
              <w:snapToGrid w:val="0"/>
              <w:ind w:firstLine="0" w:firstLineChars="0"/>
              <w:jc w:val="center"/>
              <w:rPr>
                <w:rFonts w:hAnsi="宋体"/>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rPr>
            </w:pPr>
            <w:r>
              <w:rPr>
                <w:rFonts w:ascii="Times New Roman"/>
              </w:rPr>
              <w:t>客车乘客通道和引道</w:t>
            </w:r>
          </w:p>
        </w:tc>
        <w:tc>
          <w:tcPr>
            <w:tcW w:w="1134"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vAlign w:val="center"/>
          </w:tcPr>
          <w:p>
            <w:pPr>
              <w:pStyle w:val="8"/>
              <w:widowControl w:val="0"/>
              <w:adjustRightInd w:val="0"/>
              <w:snapToGrid w:val="0"/>
              <w:ind w:firstLine="0" w:firstLineChars="0"/>
              <w:jc w:val="center"/>
              <w:rPr>
                <w:rFonts w:ascii="Times New Roman"/>
              </w:rPr>
            </w:pPr>
          </w:p>
        </w:tc>
        <w:tc>
          <w:tcPr>
            <w:tcW w:w="709" w:type="dxa"/>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jc w:val="left"/>
              <w:rPr>
                <w:rFonts w:ascii="Times New Roman" w:eastAsiaTheme="minorEastAsia"/>
              </w:rPr>
            </w:pPr>
            <w:r>
              <w:rPr>
                <w:rFonts w:ascii="Times New Roman"/>
              </w:rPr>
              <w:t>货厢</w:t>
            </w:r>
            <w:r>
              <w:rPr>
                <w:rFonts w:hint="eastAsia" w:ascii="Times New Roman" w:eastAsiaTheme="minorEastAsia"/>
              </w:rPr>
              <w:t>/罐体</w:t>
            </w:r>
          </w:p>
        </w:tc>
        <w:tc>
          <w:tcPr>
            <w:tcW w:w="1134"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p>
        </w:tc>
        <w:tc>
          <w:tcPr>
            <w:tcW w:w="992"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restart"/>
            <w:vAlign w:val="center"/>
          </w:tcPr>
          <w:p>
            <w:pPr>
              <w:pStyle w:val="8"/>
              <w:widowControl w:val="0"/>
              <w:adjustRightInd w:val="0"/>
              <w:snapToGrid w:val="0"/>
              <w:ind w:firstLine="0" w:firstLineChars="0"/>
              <w:jc w:val="center"/>
              <w:rPr>
                <w:rFonts w:ascii="Times New Roman"/>
              </w:rPr>
            </w:pPr>
            <w:r>
              <w:rPr>
                <w:rFonts w:ascii="Times New Roman"/>
              </w:rPr>
              <w:t>4</w:t>
            </w:r>
          </w:p>
        </w:tc>
        <w:tc>
          <w:tcPr>
            <w:tcW w:w="1134" w:type="dxa"/>
            <w:vMerge w:val="restart"/>
            <w:vAlign w:val="center"/>
          </w:tcPr>
          <w:p>
            <w:pPr>
              <w:pStyle w:val="8"/>
              <w:widowControl w:val="0"/>
              <w:adjustRightInd w:val="0"/>
              <w:snapToGrid w:val="0"/>
              <w:ind w:firstLine="0" w:firstLineChars="0"/>
              <w:jc w:val="center"/>
              <w:rPr>
                <w:rFonts w:ascii="Times New Roman"/>
              </w:rPr>
            </w:pPr>
            <w:r>
              <w:rPr>
                <w:rFonts w:ascii="Times New Roman"/>
              </w:rPr>
              <w:t>车辆外观检查</w:t>
            </w:r>
          </w:p>
        </w:tc>
        <w:tc>
          <w:tcPr>
            <w:tcW w:w="3402" w:type="dxa"/>
            <w:vAlign w:val="center"/>
          </w:tcPr>
          <w:p>
            <w:pPr>
              <w:pStyle w:val="8"/>
              <w:widowControl w:val="0"/>
              <w:adjustRightInd w:val="0"/>
              <w:snapToGrid w:val="0"/>
              <w:ind w:firstLine="0" w:firstLineChars="0"/>
              <w:rPr>
                <w:rFonts w:ascii="Times New Roman"/>
              </w:rPr>
            </w:pPr>
            <w:r>
              <w:rPr>
                <w:rFonts w:ascii="Times New Roman"/>
              </w:rPr>
              <w:t>车身外观</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外观标识、标注和标牌</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外部照明和信号装置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轮胎</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eastAsiaTheme="minorEastAsia"/>
                <w:color w:val="FF0000"/>
              </w:rPr>
            </w:pPr>
            <w:r>
              <w:rPr>
                <w:rFonts w:ascii="Times New Roman"/>
              </w:rPr>
              <w:t>号牌</w:t>
            </w:r>
            <w:r>
              <w:rPr>
                <w:rFonts w:hint="eastAsia" w:ascii="Times New Roman" w:eastAsiaTheme="minorEastAsia"/>
              </w:rPr>
              <w:t>/</w:t>
            </w:r>
            <w:r>
              <w:rPr>
                <w:rFonts w:hint="eastAsia" w:ascii="Times New Roman"/>
              </w:rPr>
              <w:t>号牌</w:t>
            </w:r>
            <w:r>
              <w:rPr>
                <w:rFonts w:hint="eastAsia" w:ascii="Times New Roman" w:eastAsiaTheme="minorEastAsia"/>
              </w:rPr>
              <w:t>板（架）</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加装/改装灯具</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restart"/>
            <w:vAlign w:val="center"/>
          </w:tcPr>
          <w:p>
            <w:pPr>
              <w:pStyle w:val="8"/>
              <w:widowControl w:val="0"/>
              <w:adjustRightInd w:val="0"/>
              <w:snapToGrid w:val="0"/>
              <w:ind w:firstLine="0" w:firstLineChars="0"/>
              <w:jc w:val="center"/>
              <w:rPr>
                <w:rFonts w:ascii="Times New Roman" w:eastAsiaTheme="minorEastAsia"/>
              </w:rPr>
            </w:pPr>
            <w:r>
              <w:rPr>
                <w:rFonts w:ascii="Times New Roman"/>
              </w:rPr>
              <w:t>5</w:t>
            </w:r>
          </w:p>
        </w:tc>
        <w:tc>
          <w:tcPr>
            <w:tcW w:w="1134" w:type="dxa"/>
            <w:vMerge w:val="restart"/>
            <w:vAlign w:val="center"/>
          </w:tcPr>
          <w:p>
            <w:pPr>
              <w:pStyle w:val="8"/>
              <w:widowControl w:val="0"/>
              <w:adjustRightInd w:val="0"/>
              <w:snapToGrid w:val="0"/>
              <w:ind w:firstLine="0" w:firstLineChars="0"/>
              <w:jc w:val="center"/>
              <w:rPr>
                <w:rFonts w:ascii="Times New Roman"/>
              </w:rPr>
            </w:pPr>
            <w:r>
              <w:rPr>
                <w:rFonts w:ascii="Times New Roman"/>
              </w:rPr>
              <w:t>安全装置检查</w:t>
            </w:r>
          </w:p>
        </w:tc>
        <w:tc>
          <w:tcPr>
            <w:tcW w:w="3402" w:type="dxa"/>
            <w:vAlign w:val="center"/>
          </w:tcPr>
          <w:p>
            <w:pPr>
              <w:pStyle w:val="8"/>
              <w:widowControl w:val="0"/>
              <w:adjustRightInd w:val="0"/>
              <w:snapToGrid w:val="0"/>
              <w:ind w:firstLine="0" w:firstLineChars="0"/>
              <w:rPr>
                <w:rFonts w:ascii="Times New Roman"/>
              </w:rPr>
            </w:pPr>
            <w:r>
              <w:rPr>
                <w:rFonts w:ascii="Times New Roman"/>
              </w:rPr>
              <w:t>汽车安全带</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eastAsiaTheme="minorEastAsia"/>
              </w:rPr>
            </w:pPr>
            <w:r>
              <w:rPr>
                <w:rFonts w:hint="eastAsia" w:ascii="Times New Roman" w:eastAsiaTheme="minorEastAsia"/>
              </w:rPr>
              <w:t>应急停车安全附件</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灭火器</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行驶记录装置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车身反光标识</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车辆尾部标志板</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侧</w:t>
            </w:r>
            <w:r>
              <w:rPr>
                <w:rFonts w:hint="eastAsia" w:ascii="Times New Roman" w:eastAsiaTheme="minorEastAsia"/>
              </w:rPr>
              <w:t>、</w:t>
            </w:r>
            <w:r>
              <w:rPr>
                <w:rFonts w:ascii="Times New Roman"/>
              </w:rPr>
              <w:t>后</w:t>
            </w:r>
            <w:r>
              <w:rPr>
                <w:rFonts w:hint="eastAsia" w:ascii="Times New Roman" w:eastAsiaTheme="minorEastAsia"/>
              </w:rPr>
              <w:t>、前下部</w:t>
            </w:r>
            <w:r>
              <w:rPr>
                <w:rFonts w:ascii="Times New Roman"/>
              </w:rPr>
              <w:t>防护装置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应急锤</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急救箱</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hint="eastAsia" w:ascii="Times New Roman" w:eastAsiaTheme="minorEastAsia"/>
              </w:rPr>
              <w:t>车速限制</w:t>
            </w:r>
            <w:r>
              <w:rPr>
                <w:rFonts w:hint="eastAsia" w:ascii="Times New Roman" w:eastAsiaTheme="minorEastAsia"/>
                <w:sz w:val="24"/>
                <w:szCs w:val="24"/>
              </w:rPr>
              <w:t>/</w:t>
            </w:r>
            <w:r>
              <w:rPr>
                <w:rFonts w:hint="eastAsia" w:ascii="Times New Roman" w:eastAsiaTheme="minorEastAsia"/>
              </w:rPr>
              <w:t>报警功能</w:t>
            </w:r>
            <w:r>
              <w:rPr>
                <w:rFonts w:ascii="Times New Roman"/>
              </w:rPr>
              <w:t>或装置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防抱制动装置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辅助制动装置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盘式制动器</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eastAsiaTheme="minorEastAsia"/>
              </w:rPr>
            </w:pPr>
            <w:r>
              <w:rPr>
                <w:rFonts w:hint="eastAsia" w:ascii="Times New Roman" w:eastAsiaTheme="minorEastAsia"/>
              </w:rPr>
              <w:t>制动间隙自动调整装置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紧急切断装置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ascii="Times New Roman"/>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ascii="Times New Roman"/>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发动机舱自动灭火装置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手动机械断电开关</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hAnsi="宋体"/>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eastAsiaTheme="minorEastAsia"/>
              </w:rPr>
            </w:pPr>
            <w:r>
              <w:rPr>
                <w:rFonts w:ascii="Times New Roman"/>
              </w:rPr>
              <w:t>副制动踏板</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8"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校车标志灯和校车停车指示标志牌</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hAnsi="宋体"/>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rPr>
            </w:pPr>
            <w:r>
              <w:rPr>
                <w:rFonts w:ascii="Times New Roman"/>
              </w:rPr>
              <w:t>危险货物运输车标志</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666" w:type="dxa"/>
            <w:vMerge w:val="continue"/>
            <w:vAlign w:val="center"/>
          </w:tcPr>
          <w:p>
            <w:pPr>
              <w:pStyle w:val="8"/>
              <w:widowControl w:val="0"/>
              <w:adjustRightInd w:val="0"/>
              <w:snapToGrid w:val="0"/>
              <w:ind w:firstLine="0" w:firstLineChars="0"/>
              <w:jc w:val="center"/>
              <w:rPr>
                <w:rFonts w:ascii="Times New Roman"/>
              </w:rPr>
            </w:pPr>
          </w:p>
        </w:tc>
        <w:tc>
          <w:tcPr>
            <w:tcW w:w="1134" w:type="dxa"/>
            <w:vMerge w:val="continue"/>
            <w:vAlign w:val="center"/>
          </w:tcPr>
          <w:p>
            <w:pPr>
              <w:pStyle w:val="8"/>
              <w:widowControl w:val="0"/>
              <w:adjustRightInd w:val="0"/>
              <w:snapToGrid w:val="0"/>
              <w:ind w:firstLine="0" w:firstLineChars="0"/>
              <w:jc w:val="center"/>
              <w:rPr>
                <w:rFonts w:ascii="Times New Roman"/>
              </w:rPr>
            </w:pPr>
          </w:p>
        </w:tc>
        <w:tc>
          <w:tcPr>
            <w:tcW w:w="3402" w:type="dxa"/>
            <w:vAlign w:val="center"/>
          </w:tcPr>
          <w:p>
            <w:pPr>
              <w:pStyle w:val="8"/>
              <w:widowControl w:val="0"/>
              <w:adjustRightInd w:val="0"/>
              <w:snapToGrid w:val="0"/>
              <w:ind w:firstLine="0" w:firstLineChars="0"/>
              <w:rPr>
                <w:rFonts w:ascii="Times New Roman" w:eastAsiaTheme="minorEastAsia"/>
              </w:rPr>
            </w:pPr>
            <w:r>
              <w:rPr>
                <w:rFonts w:hint="eastAsia" w:ascii="Times New Roman" w:eastAsiaTheme="minorEastAsia"/>
              </w:rPr>
              <w:t>驾驶区隔离装置</w:t>
            </w:r>
          </w:p>
        </w:tc>
        <w:tc>
          <w:tcPr>
            <w:tcW w:w="1134" w:type="dxa"/>
            <w:shd w:val="clear" w:color="auto" w:fill="auto"/>
            <w:vAlign w:val="center"/>
          </w:tcPr>
          <w:p>
            <w:pPr>
              <w:pStyle w:val="8"/>
              <w:widowControl w:val="0"/>
              <w:adjustRightInd w:val="0"/>
              <w:snapToGrid w:val="0"/>
              <w:ind w:firstLine="0" w:firstLineChars="0"/>
              <w:jc w:val="center"/>
              <w:rPr>
                <w:rFonts w:ascii="Times New Roman"/>
              </w:rPr>
            </w:pP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99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709" w:type="dxa"/>
            <w:shd w:val="clear" w:color="auto" w:fill="auto"/>
            <w:vAlign w:val="center"/>
          </w:tcPr>
          <w:p>
            <w:pPr>
              <w:pStyle w:val="8"/>
              <w:widowControl w:val="0"/>
              <w:adjustRightInd w:val="0"/>
              <w:snapToGrid w:val="0"/>
              <w:ind w:firstLine="0" w:firstLineChars="0"/>
              <w:jc w:val="center"/>
              <w:rPr>
                <w:rFonts w:ascii="Times New Roman"/>
              </w:rPr>
            </w:pPr>
          </w:p>
        </w:tc>
        <w:tc>
          <w:tcPr>
            <w:tcW w:w="567" w:type="dxa"/>
            <w:vAlign w:val="center"/>
          </w:tcPr>
          <w:p>
            <w:pPr>
              <w:pStyle w:val="8"/>
              <w:widowControl w:val="0"/>
              <w:adjustRightInd w:val="0"/>
              <w:snapToGrid w:val="0"/>
              <w:ind w:firstLine="0" w:firstLineChars="0"/>
              <w:jc w:val="center"/>
              <w:rPr>
                <w:rFonts w:ascii="Times New Roman"/>
              </w:rPr>
            </w:pPr>
          </w:p>
        </w:tc>
        <w:tc>
          <w:tcPr>
            <w:tcW w:w="521" w:type="dxa"/>
            <w:shd w:val="clear" w:color="auto" w:fill="auto"/>
            <w:vAlign w:val="center"/>
          </w:tcPr>
          <w:p>
            <w:pPr>
              <w:pStyle w:val="8"/>
              <w:widowControl w:val="0"/>
              <w:adjustRightInd w:val="0"/>
              <w:snapToGrid w:val="0"/>
              <w:ind w:firstLine="0" w:firstLineChars="0"/>
              <w:jc w:val="center"/>
              <w:rPr>
                <w:rFonts w:ascii="Times New Roman"/>
              </w:rPr>
            </w:pPr>
          </w:p>
        </w:tc>
      </w:tr>
    </w:tbl>
    <w:p>
      <w:pPr>
        <w:pStyle w:val="11"/>
        <w:tabs>
          <w:tab w:val="clear" w:pos="720"/>
        </w:tabs>
        <w:spacing w:before="156" w:after="156"/>
        <w:ind w:left="0" w:firstLine="0"/>
        <w:rPr>
          <w:rFonts w:hAnsi="黑体"/>
        </w:rPr>
      </w:pPr>
      <w:r>
        <w:rPr>
          <w:rFonts w:ascii="Times New Roman"/>
          <w:kern w:val="2"/>
          <w:szCs w:val="24"/>
        </w:rPr>
        <w:br w:type="page"/>
      </w:r>
      <w:r>
        <w:rPr>
          <w:rFonts w:hint="eastAsia" w:hAnsi="黑体"/>
          <w:kern w:val="2"/>
          <w:szCs w:val="24"/>
        </w:rPr>
        <w:t>表</w:t>
      </w:r>
      <w:r>
        <w:rPr>
          <w:rFonts w:hint="eastAsia" w:hAnsi="黑体" w:eastAsiaTheme="minorEastAsia"/>
          <w:kern w:val="2"/>
          <w:szCs w:val="24"/>
        </w:rPr>
        <w:t>2</w:t>
      </w:r>
      <w:r>
        <w:rPr>
          <w:rFonts w:hint="eastAsia" w:hAnsi="黑体"/>
          <w:kern w:val="2"/>
          <w:szCs w:val="24"/>
        </w:rPr>
        <w:t xml:space="preserve">  </w:t>
      </w:r>
      <w:r>
        <w:rPr>
          <w:rFonts w:hint="eastAsia" w:hAnsi="黑体"/>
        </w:rPr>
        <w:t>机动车安全技术检验项目表（续）</w:t>
      </w:r>
    </w:p>
    <w:tbl>
      <w:tblPr>
        <w:tblStyle w:val="4"/>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173"/>
        <w:gridCol w:w="648"/>
        <w:gridCol w:w="1946"/>
        <w:gridCol w:w="845"/>
        <w:gridCol w:w="843"/>
        <w:gridCol w:w="1068"/>
        <w:gridCol w:w="651"/>
        <w:gridCol w:w="823"/>
        <w:gridCol w:w="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426" w:type="dxa"/>
            <w:vMerge w:val="restart"/>
            <w:vAlign w:val="center"/>
          </w:tcPr>
          <w:p>
            <w:pPr>
              <w:pStyle w:val="8"/>
              <w:widowControl w:val="0"/>
              <w:adjustRightInd w:val="0"/>
              <w:snapToGrid w:val="0"/>
              <w:ind w:firstLine="0" w:firstLineChars="0"/>
              <w:jc w:val="center"/>
              <w:rPr>
                <w:rFonts w:ascii="Times New Roman"/>
              </w:rPr>
            </w:pPr>
            <w:r>
              <w:rPr>
                <w:rFonts w:ascii="Times New Roman"/>
              </w:rPr>
              <w:t>序号</w:t>
            </w:r>
          </w:p>
        </w:tc>
        <w:tc>
          <w:tcPr>
            <w:tcW w:w="3933" w:type="dxa"/>
            <w:gridSpan w:val="3"/>
            <w:vMerge w:val="restart"/>
            <w:vAlign w:val="center"/>
          </w:tcPr>
          <w:p>
            <w:pPr>
              <w:pStyle w:val="8"/>
              <w:widowControl w:val="0"/>
              <w:adjustRightInd w:val="0"/>
              <w:snapToGrid w:val="0"/>
              <w:ind w:firstLine="0" w:firstLineChars="0"/>
              <w:jc w:val="center"/>
              <w:rPr>
                <w:rFonts w:ascii="Times New Roman"/>
              </w:rPr>
            </w:pPr>
            <w:r>
              <w:rPr>
                <w:rFonts w:ascii="Times New Roman"/>
              </w:rPr>
              <w:t>检 验 项 目</w:t>
            </w:r>
          </w:p>
        </w:tc>
        <w:tc>
          <w:tcPr>
            <w:tcW w:w="5211" w:type="dxa"/>
            <w:gridSpan w:val="6"/>
            <w:vAlign w:val="center"/>
          </w:tcPr>
          <w:p>
            <w:pPr>
              <w:pStyle w:val="8"/>
              <w:widowControl w:val="0"/>
              <w:adjustRightInd w:val="0"/>
              <w:snapToGrid w:val="0"/>
              <w:ind w:firstLine="0" w:firstLineChars="0"/>
              <w:jc w:val="center"/>
              <w:rPr>
                <w:rFonts w:ascii="Times New Roman"/>
              </w:rPr>
            </w:pPr>
            <w:r>
              <w:rPr>
                <w:rFonts w:ascii="Times New Roman"/>
              </w:rPr>
              <w:t>适用</w:t>
            </w:r>
            <w:r>
              <w:rPr>
                <w:rFonts w:hint="eastAsia" w:ascii="Times New Roman"/>
              </w:rPr>
              <w:t>车辆类型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3933" w:type="dxa"/>
            <w:gridSpan w:val="3"/>
            <w:vMerge w:val="continue"/>
            <w:vAlign w:val="center"/>
          </w:tcPr>
          <w:p>
            <w:pPr>
              <w:pStyle w:val="8"/>
              <w:widowControl w:val="0"/>
              <w:adjustRightInd w:val="0"/>
              <w:snapToGrid w:val="0"/>
              <w:jc w:val="center"/>
              <w:rPr>
                <w:rFonts w:ascii="Times New Roman"/>
              </w:rPr>
            </w:pPr>
          </w:p>
        </w:tc>
        <w:tc>
          <w:tcPr>
            <w:tcW w:w="1742" w:type="dxa"/>
            <w:gridSpan w:val="2"/>
            <w:shd w:val="clear" w:color="auto" w:fill="auto"/>
            <w:vAlign w:val="center"/>
          </w:tcPr>
          <w:p>
            <w:pPr>
              <w:pStyle w:val="8"/>
              <w:widowControl w:val="0"/>
              <w:adjustRightInd w:val="0"/>
              <w:snapToGrid w:val="0"/>
              <w:ind w:left="-59" w:leftChars="-28" w:firstLine="0" w:firstLineChars="0"/>
              <w:jc w:val="center"/>
              <w:rPr>
                <w:rFonts w:ascii="Times New Roman"/>
              </w:rPr>
            </w:pPr>
            <w:r>
              <w:rPr>
                <w:rFonts w:ascii="Times New Roman"/>
              </w:rPr>
              <w:t>载客汽车</w:t>
            </w:r>
          </w:p>
        </w:tc>
        <w:tc>
          <w:tcPr>
            <w:tcW w:w="1095" w:type="dxa"/>
            <w:vMerge w:val="restart"/>
            <w:shd w:val="clear" w:color="auto" w:fill="auto"/>
            <w:vAlign w:val="center"/>
          </w:tcPr>
          <w:p>
            <w:pPr>
              <w:pStyle w:val="8"/>
              <w:widowControl w:val="0"/>
              <w:adjustRightInd w:val="0"/>
              <w:snapToGrid w:val="0"/>
              <w:ind w:left="-103" w:leftChars="-49" w:right="-94" w:rightChars="-45" w:firstLine="0" w:firstLineChars="0"/>
              <w:jc w:val="center"/>
              <w:rPr>
                <w:rFonts w:ascii="Times New Roman"/>
              </w:rPr>
            </w:pPr>
            <w:r>
              <w:rPr>
                <w:rFonts w:ascii="Times New Roman"/>
              </w:rPr>
              <w:t>载货汽车（三轮汽车除外）、专项作业车</w:t>
            </w:r>
          </w:p>
        </w:tc>
        <w:tc>
          <w:tcPr>
            <w:tcW w:w="666" w:type="dxa"/>
            <w:vMerge w:val="restart"/>
            <w:shd w:val="clear" w:color="auto" w:fill="auto"/>
            <w:vAlign w:val="center"/>
          </w:tcPr>
          <w:p>
            <w:pPr>
              <w:pStyle w:val="8"/>
              <w:widowControl w:val="0"/>
              <w:adjustRightInd w:val="0"/>
              <w:snapToGrid w:val="0"/>
              <w:ind w:firstLine="0" w:firstLineChars="0"/>
              <w:jc w:val="center"/>
              <w:rPr>
                <w:rFonts w:ascii="Times New Roman"/>
              </w:rPr>
            </w:pPr>
            <w:r>
              <w:rPr>
                <w:rFonts w:ascii="Times New Roman"/>
              </w:rPr>
              <w:t>挂车</w:t>
            </w:r>
          </w:p>
        </w:tc>
        <w:tc>
          <w:tcPr>
            <w:tcW w:w="849" w:type="dxa"/>
            <w:vMerge w:val="restart"/>
            <w:vAlign w:val="center"/>
          </w:tcPr>
          <w:p>
            <w:pPr>
              <w:pStyle w:val="8"/>
              <w:widowControl w:val="0"/>
              <w:adjustRightInd w:val="0"/>
              <w:snapToGrid w:val="0"/>
              <w:ind w:firstLine="0" w:firstLineChars="0"/>
              <w:jc w:val="center"/>
              <w:rPr>
                <w:rFonts w:ascii="Times New Roman"/>
              </w:rPr>
            </w:pPr>
            <w:r>
              <w:rPr>
                <w:rFonts w:ascii="Times New Roman"/>
              </w:rPr>
              <w:t>三轮</w:t>
            </w:r>
          </w:p>
          <w:p>
            <w:pPr>
              <w:pStyle w:val="8"/>
              <w:widowControl w:val="0"/>
              <w:adjustRightInd w:val="0"/>
              <w:snapToGrid w:val="0"/>
              <w:ind w:firstLine="0" w:firstLineChars="0"/>
              <w:jc w:val="center"/>
              <w:rPr>
                <w:rFonts w:ascii="Times New Roman"/>
              </w:rPr>
            </w:pPr>
            <w:r>
              <w:rPr>
                <w:rFonts w:ascii="Times New Roman"/>
              </w:rPr>
              <w:t>汽车</w:t>
            </w:r>
          </w:p>
        </w:tc>
        <w:tc>
          <w:tcPr>
            <w:tcW w:w="859" w:type="dxa"/>
            <w:vMerge w:val="restart"/>
            <w:shd w:val="clear" w:color="auto" w:fill="auto"/>
            <w:vAlign w:val="center"/>
          </w:tcPr>
          <w:p>
            <w:pPr>
              <w:pStyle w:val="8"/>
              <w:widowControl w:val="0"/>
              <w:adjustRightInd w:val="0"/>
              <w:snapToGrid w:val="0"/>
              <w:ind w:firstLine="0" w:firstLineChars="0"/>
              <w:jc w:val="center"/>
              <w:rPr>
                <w:rFonts w:ascii="Times New Roman"/>
              </w:rPr>
            </w:pPr>
            <w:r>
              <w:rPr>
                <w:rFonts w:ascii="Times New Roman"/>
              </w:rPr>
              <w:t>摩托车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26" w:type="dxa"/>
            <w:vMerge w:val="continue"/>
            <w:vAlign w:val="center"/>
          </w:tcPr>
          <w:p>
            <w:pPr>
              <w:pStyle w:val="8"/>
              <w:widowControl w:val="0"/>
              <w:adjustRightInd w:val="0"/>
              <w:snapToGrid w:val="0"/>
              <w:ind w:firstLine="0" w:firstLineChars="0"/>
              <w:jc w:val="center"/>
              <w:rPr>
                <w:rFonts w:ascii="Times New Roman"/>
                <w:b/>
              </w:rPr>
            </w:pPr>
          </w:p>
        </w:tc>
        <w:tc>
          <w:tcPr>
            <w:tcW w:w="3933" w:type="dxa"/>
            <w:gridSpan w:val="3"/>
            <w:vMerge w:val="continue"/>
            <w:vAlign w:val="center"/>
          </w:tcPr>
          <w:p>
            <w:pPr>
              <w:pStyle w:val="8"/>
              <w:widowControl w:val="0"/>
              <w:adjustRightInd w:val="0"/>
              <w:snapToGrid w:val="0"/>
              <w:ind w:firstLine="422" w:firstLineChars="0"/>
              <w:jc w:val="center"/>
              <w:rPr>
                <w:rFonts w:ascii="Times New Roman"/>
              </w:rPr>
            </w:pPr>
          </w:p>
        </w:tc>
        <w:tc>
          <w:tcPr>
            <w:tcW w:w="872" w:type="dxa"/>
            <w:shd w:val="clear" w:color="auto" w:fill="auto"/>
            <w:vAlign w:val="center"/>
          </w:tcPr>
          <w:p>
            <w:pPr>
              <w:pStyle w:val="8"/>
              <w:widowControl w:val="0"/>
              <w:adjustRightInd w:val="0"/>
              <w:snapToGrid w:val="0"/>
              <w:ind w:left="-103" w:leftChars="-49" w:right="-94" w:rightChars="-45" w:firstLine="0" w:firstLineChars="0"/>
              <w:jc w:val="center"/>
              <w:rPr>
                <w:rFonts w:ascii="Times New Roman"/>
                <w:b/>
              </w:rPr>
            </w:pPr>
            <w:r>
              <w:rPr>
                <w:rFonts w:ascii="Times New Roman"/>
              </w:rPr>
              <w:t>非营运小型、微型载客汽车</w:t>
            </w:r>
          </w:p>
        </w:tc>
        <w:tc>
          <w:tcPr>
            <w:tcW w:w="870" w:type="dxa"/>
            <w:shd w:val="clear" w:color="auto" w:fill="auto"/>
            <w:vAlign w:val="center"/>
          </w:tcPr>
          <w:p>
            <w:pPr>
              <w:pStyle w:val="8"/>
              <w:widowControl w:val="0"/>
              <w:adjustRightInd w:val="0"/>
              <w:snapToGrid w:val="0"/>
              <w:ind w:left="-59" w:leftChars="-28" w:firstLine="0" w:firstLineChars="0"/>
              <w:jc w:val="center"/>
              <w:rPr>
                <w:rFonts w:ascii="Times New Roman"/>
              </w:rPr>
            </w:pPr>
            <w:r>
              <w:rPr>
                <w:rFonts w:ascii="Times New Roman"/>
              </w:rPr>
              <w:t>其它类型载客汽车</w:t>
            </w:r>
          </w:p>
        </w:tc>
        <w:tc>
          <w:tcPr>
            <w:tcW w:w="1095" w:type="dxa"/>
            <w:vMerge w:val="continue"/>
            <w:shd w:val="clear" w:color="auto" w:fill="auto"/>
            <w:vAlign w:val="center"/>
          </w:tcPr>
          <w:p>
            <w:pPr>
              <w:pStyle w:val="8"/>
              <w:widowControl w:val="0"/>
              <w:adjustRightInd w:val="0"/>
              <w:snapToGrid w:val="0"/>
              <w:ind w:left="-59" w:leftChars="-28" w:firstLine="0" w:firstLineChars="0"/>
              <w:jc w:val="center"/>
              <w:rPr>
                <w:rFonts w:ascii="Times New Roman"/>
              </w:rPr>
            </w:pPr>
          </w:p>
        </w:tc>
        <w:tc>
          <w:tcPr>
            <w:tcW w:w="666" w:type="dxa"/>
            <w:vMerge w:val="continue"/>
            <w:shd w:val="clear" w:color="auto" w:fill="auto"/>
            <w:vAlign w:val="center"/>
          </w:tcPr>
          <w:p>
            <w:pPr>
              <w:pStyle w:val="8"/>
              <w:widowControl w:val="0"/>
              <w:adjustRightInd w:val="0"/>
              <w:snapToGrid w:val="0"/>
              <w:ind w:firstLine="0" w:firstLineChars="0"/>
              <w:jc w:val="center"/>
              <w:rPr>
                <w:rFonts w:ascii="Times New Roman"/>
              </w:rPr>
            </w:pPr>
          </w:p>
        </w:tc>
        <w:tc>
          <w:tcPr>
            <w:tcW w:w="849" w:type="dxa"/>
            <w:vMerge w:val="continue"/>
          </w:tcPr>
          <w:p>
            <w:pPr>
              <w:pStyle w:val="8"/>
              <w:widowControl w:val="0"/>
              <w:adjustRightInd w:val="0"/>
              <w:snapToGrid w:val="0"/>
              <w:ind w:firstLine="0" w:firstLineChars="0"/>
              <w:jc w:val="center"/>
              <w:rPr>
                <w:rFonts w:ascii="Times New Roman"/>
              </w:rPr>
            </w:pPr>
          </w:p>
        </w:tc>
        <w:tc>
          <w:tcPr>
            <w:tcW w:w="859" w:type="dxa"/>
            <w:vMerge w:val="continue"/>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426" w:type="dxa"/>
            <w:vMerge w:val="restart"/>
            <w:vAlign w:val="center"/>
          </w:tcPr>
          <w:p>
            <w:pPr>
              <w:pStyle w:val="8"/>
              <w:widowControl w:val="0"/>
              <w:adjustRightInd w:val="0"/>
              <w:snapToGrid w:val="0"/>
              <w:ind w:firstLine="0" w:firstLineChars="0"/>
              <w:jc w:val="center"/>
              <w:rPr>
                <w:rFonts w:ascii="Times New Roman" w:eastAsiaTheme="minorEastAsia"/>
              </w:rPr>
            </w:pPr>
            <w:r>
              <w:rPr>
                <w:rFonts w:hint="eastAsia" w:ascii="Times New Roman" w:eastAsiaTheme="minorEastAsia"/>
              </w:rPr>
              <w:t>6</w:t>
            </w:r>
          </w:p>
        </w:tc>
        <w:tc>
          <w:tcPr>
            <w:tcW w:w="1222" w:type="dxa"/>
            <w:vMerge w:val="restart"/>
            <w:vAlign w:val="center"/>
          </w:tcPr>
          <w:p>
            <w:pPr>
              <w:pStyle w:val="8"/>
              <w:widowControl w:val="0"/>
              <w:adjustRightInd w:val="0"/>
              <w:snapToGrid w:val="0"/>
              <w:ind w:firstLine="0" w:firstLineChars="0"/>
              <w:jc w:val="center"/>
              <w:rPr>
                <w:rFonts w:ascii="Times New Roman"/>
              </w:rPr>
            </w:pPr>
            <w:r>
              <w:rPr>
                <w:rFonts w:ascii="Times New Roman"/>
              </w:rPr>
              <w:t>底盘动态检验</w:t>
            </w: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转向系</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传动系</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4"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制动系</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仪表和指示器</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restart"/>
            <w:vAlign w:val="center"/>
          </w:tcPr>
          <w:p>
            <w:pPr>
              <w:pStyle w:val="8"/>
              <w:widowControl w:val="0"/>
              <w:adjustRightInd w:val="0"/>
              <w:snapToGrid w:val="0"/>
              <w:ind w:firstLine="0" w:firstLineChars="0"/>
              <w:jc w:val="center"/>
              <w:rPr>
                <w:rFonts w:ascii="Times New Roman" w:eastAsiaTheme="minorEastAsia"/>
              </w:rPr>
            </w:pPr>
            <w:r>
              <w:rPr>
                <w:rFonts w:hint="eastAsia" w:ascii="Times New Roman" w:eastAsiaTheme="minorEastAsia"/>
              </w:rPr>
              <w:t>7</w:t>
            </w:r>
          </w:p>
          <w:p>
            <w:pPr>
              <w:pStyle w:val="8"/>
              <w:widowControl w:val="0"/>
              <w:adjustRightInd w:val="0"/>
              <w:snapToGrid w:val="0"/>
              <w:jc w:val="center"/>
              <w:rPr>
                <w:rFonts w:ascii="Times New Roman"/>
              </w:rPr>
            </w:pPr>
            <w:r>
              <w:rPr>
                <w:rFonts w:ascii="Times New Roman"/>
              </w:rPr>
              <w:t>7</w:t>
            </w:r>
          </w:p>
        </w:tc>
        <w:tc>
          <w:tcPr>
            <w:tcW w:w="1222" w:type="dxa"/>
            <w:vMerge w:val="restart"/>
            <w:vAlign w:val="center"/>
          </w:tcPr>
          <w:p>
            <w:pPr>
              <w:pStyle w:val="8"/>
              <w:widowControl w:val="0"/>
              <w:adjustRightInd w:val="0"/>
              <w:snapToGrid w:val="0"/>
              <w:ind w:firstLine="0" w:firstLineChars="0"/>
              <w:jc w:val="center"/>
              <w:rPr>
                <w:rFonts w:ascii="Times New Roman"/>
              </w:rPr>
            </w:pPr>
            <w:r>
              <w:rPr>
                <w:rFonts w:ascii="Times New Roman"/>
              </w:rPr>
              <w:t>车辆底盘部件检查</w:t>
            </w: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转向系部件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传动系部件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行驶系部件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制动系部件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其它部件</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restart"/>
            <w:vAlign w:val="center"/>
          </w:tcPr>
          <w:p>
            <w:pPr>
              <w:pStyle w:val="8"/>
              <w:widowControl w:val="0"/>
              <w:adjustRightInd w:val="0"/>
              <w:snapToGrid w:val="0"/>
              <w:jc w:val="center"/>
              <w:rPr>
                <w:rFonts w:ascii="Times New Roman"/>
              </w:rPr>
            </w:pPr>
            <w:r>
              <w:rPr>
                <w:rFonts w:ascii="Times New Roman"/>
              </w:rPr>
              <w:t>8</w:t>
            </w:r>
          </w:p>
        </w:tc>
        <w:tc>
          <w:tcPr>
            <w:tcW w:w="1222" w:type="dxa"/>
            <w:vMerge w:val="restart"/>
            <w:vAlign w:val="center"/>
          </w:tcPr>
          <w:p>
            <w:pPr>
              <w:pStyle w:val="8"/>
              <w:widowControl w:val="0"/>
              <w:adjustRightInd w:val="0"/>
              <w:snapToGrid w:val="0"/>
              <w:ind w:firstLine="0" w:firstLineChars="0"/>
              <w:rPr>
                <w:rFonts w:ascii="Times New Roman" w:eastAsiaTheme="minorEastAsia"/>
              </w:rPr>
            </w:pPr>
            <w:r>
              <w:rPr>
                <w:rFonts w:ascii="Times New Roman"/>
              </w:rPr>
              <w:t>仪器设备</w:t>
            </w:r>
          </w:p>
          <w:p>
            <w:pPr>
              <w:pStyle w:val="8"/>
              <w:widowControl w:val="0"/>
              <w:adjustRightInd w:val="0"/>
              <w:snapToGrid w:val="0"/>
              <w:ind w:firstLine="0" w:firstLineChars="0"/>
              <w:rPr>
                <w:rFonts w:ascii="Times New Roman"/>
              </w:rPr>
            </w:pPr>
            <w:r>
              <w:rPr>
                <w:rFonts w:ascii="Times New Roman"/>
              </w:rPr>
              <w:t>检验</w:t>
            </w:r>
          </w:p>
        </w:tc>
        <w:tc>
          <w:tcPr>
            <w:tcW w:w="2711" w:type="dxa"/>
            <w:gridSpan w:val="2"/>
            <w:vAlign w:val="center"/>
          </w:tcPr>
          <w:p>
            <w:pPr>
              <w:pStyle w:val="8"/>
              <w:widowControl w:val="0"/>
              <w:adjustRightInd w:val="0"/>
              <w:snapToGrid w:val="0"/>
              <w:ind w:firstLine="0" w:firstLineChars="0"/>
              <w:rPr>
                <w:rFonts w:ascii="Times New Roman" w:eastAsiaTheme="minorEastAsia"/>
              </w:rPr>
            </w:pPr>
            <w:r>
              <w:rPr>
                <w:rFonts w:hint="eastAsia" w:ascii="Times New Roman" w:eastAsiaTheme="minorEastAsia"/>
              </w:rPr>
              <w:t>空车质量</w:t>
            </w:r>
          </w:p>
        </w:tc>
        <w:tc>
          <w:tcPr>
            <w:tcW w:w="872" w:type="dxa"/>
            <w:shd w:val="clear" w:color="auto" w:fill="auto"/>
            <w:vAlign w:val="center"/>
          </w:tcPr>
          <w:p>
            <w:pPr>
              <w:pStyle w:val="8"/>
              <w:widowControl w:val="0"/>
              <w:adjustRightInd w:val="0"/>
              <w:snapToGrid w:val="0"/>
              <w:ind w:firstLine="0" w:firstLineChars="0"/>
              <w:jc w:val="center"/>
              <w:rPr>
                <w:rFonts w:hAnsi="宋体"/>
              </w:rPr>
            </w:pPr>
          </w:p>
        </w:tc>
        <w:tc>
          <w:tcPr>
            <w:tcW w:w="870" w:type="dxa"/>
            <w:shd w:val="clear" w:color="auto" w:fill="auto"/>
            <w:vAlign w:val="center"/>
          </w:tcPr>
          <w:p>
            <w:pPr>
              <w:pStyle w:val="8"/>
              <w:widowControl w:val="0"/>
              <w:adjustRightInd w:val="0"/>
              <w:snapToGrid w:val="0"/>
              <w:ind w:firstLine="0" w:firstLineChars="0"/>
              <w:jc w:val="center"/>
              <w:rPr>
                <w:rFonts w:hAnsi="宋体"/>
              </w:rPr>
            </w:pP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hAnsi="宋体"/>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666" w:type="dxa"/>
            <w:vMerge w:val="restart"/>
            <w:vAlign w:val="center"/>
          </w:tcPr>
          <w:p>
            <w:pPr>
              <w:pStyle w:val="8"/>
              <w:widowControl w:val="0"/>
              <w:adjustRightInd w:val="0"/>
              <w:snapToGrid w:val="0"/>
              <w:ind w:right="-61" w:rightChars="-29" w:firstLine="0" w:firstLineChars="0"/>
              <w:jc w:val="left"/>
              <w:rPr>
                <w:rFonts w:ascii="Times New Roman"/>
              </w:rPr>
            </w:pPr>
            <w:r>
              <w:rPr>
                <w:rFonts w:ascii="Times New Roman"/>
              </w:rPr>
              <w:t>行车</w:t>
            </w:r>
          </w:p>
          <w:p>
            <w:pPr>
              <w:pStyle w:val="8"/>
              <w:widowControl w:val="0"/>
              <w:adjustRightInd w:val="0"/>
              <w:snapToGrid w:val="0"/>
              <w:ind w:right="-61" w:rightChars="-29" w:firstLine="0" w:firstLineChars="0"/>
              <w:jc w:val="left"/>
              <w:rPr>
                <w:rFonts w:ascii="Times New Roman" w:eastAsiaTheme="minorEastAsia"/>
              </w:rPr>
            </w:pPr>
            <w:r>
              <w:rPr>
                <w:rFonts w:ascii="Times New Roman"/>
              </w:rPr>
              <w:t>制动</w:t>
            </w:r>
            <w:r>
              <w:rPr>
                <w:rFonts w:hint="eastAsia" w:ascii="Times New Roman" w:eastAsiaTheme="minorEastAsia"/>
                <w:sz w:val="28"/>
                <w:szCs w:val="28"/>
                <w:vertAlign w:val="superscript"/>
              </w:rPr>
              <w:t>b</w:t>
            </w:r>
          </w:p>
        </w:tc>
        <w:tc>
          <w:tcPr>
            <w:tcW w:w="2045" w:type="dxa"/>
            <w:vAlign w:val="center"/>
          </w:tcPr>
          <w:p>
            <w:pPr>
              <w:pStyle w:val="8"/>
              <w:widowControl w:val="0"/>
              <w:adjustRightInd w:val="0"/>
              <w:snapToGrid w:val="0"/>
              <w:ind w:firstLine="0" w:firstLineChars="0"/>
              <w:rPr>
                <w:rFonts w:ascii="Times New Roman"/>
              </w:rPr>
            </w:pPr>
            <w:r>
              <w:rPr>
                <w:rFonts w:ascii="Times New Roman"/>
              </w:rPr>
              <w:t>空载制动率</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666" w:type="dxa"/>
            <w:vMerge w:val="continue"/>
            <w:vAlign w:val="center"/>
          </w:tcPr>
          <w:p>
            <w:pPr>
              <w:pStyle w:val="8"/>
              <w:widowControl w:val="0"/>
              <w:adjustRightInd w:val="0"/>
              <w:snapToGrid w:val="0"/>
              <w:ind w:firstLine="0" w:firstLineChars="0"/>
              <w:rPr>
                <w:rFonts w:ascii="Times New Roman"/>
              </w:rPr>
            </w:pPr>
          </w:p>
        </w:tc>
        <w:tc>
          <w:tcPr>
            <w:tcW w:w="2045" w:type="dxa"/>
            <w:vAlign w:val="center"/>
          </w:tcPr>
          <w:p>
            <w:pPr>
              <w:pStyle w:val="8"/>
              <w:widowControl w:val="0"/>
              <w:adjustRightInd w:val="0"/>
              <w:snapToGrid w:val="0"/>
              <w:ind w:firstLine="0" w:firstLineChars="0"/>
              <w:rPr>
                <w:rFonts w:ascii="Times New Roman"/>
              </w:rPr>
            </w:pPr>
            <w:r>
              <w:rPr>
                <w:rFonts w:ascii="Times New Roman"/>
              </w:rPr>
              <w:t>空载制动不平衡率</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666" w:type="dxa"/>
            <w:vMerge w:val="continue"/>
            <w:vAlign w:val="center"/>
          </w:tcPr>
          <w:p>
            <w:pPr>
              <w:pStyle w:val="8"/>
              <w:widowControl w:val="0"/>
              <w:adjustRightInd w:val="0"/>
              <w:snapToGrid w:val="0"/>
              <w:ind w:firstLine="0" w:firstLineChars="0"/>
              <w:rPr>
                <w:rFonts w:ascii="Times New Roman"/>
              </w:rPr>
            </w:pPr>
          </w:p>
        </w:tc>
        <w:tc>
          <w:tcPr>
            <w:tcW w:w="2045" w:type="dxa"/>
            <w:vAlign w:val="center"/>
          </w:tcPr>
          <w:p>
            <w:pPr>
              <w:pStyle w:val="8"/>
              <w:widowControl w:val="0"/>
              <w:adjustRightInd w:val="0"/>
              <w:snapToGrid w:val="0"/>
              <w:ind w:firstLine="0" w:firstLineChars="0"/>
              <w:rPr>
                <w:rFonts w:ascii="Times New Roman"/>
              </w:rPr>
            </w:pPr>
            <w:r>
              <w:rPr>
                <w:rFonts w:ascii="Times New Roman"/>
              </w:rPr>
              <w:t>加载</w:t>
            </w:r>
            <w:r>
              <w:rPr>
                <w:rFonts w:hint="eastAsia" w:ascii="Times New Roman"/>
              </w:rPr>
              <w:t>轴</w:t>
            </w:r>
            <w:r>
              <w:rPr>
                <w:rFonts w:ascii="Times New Roman"/>
              </w:rPr>
              <w:t>制动率</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666" w:type="dxa"/>
            <w:vMerge w:val="continue"/>
            <w:vAlign w:val="center"/>
          </w:tcPr>
          <w:p>
            <w:pPr>
              <w:pStyle w:val="8"/>
              <w:widowControl w:val="0"/>
              <w:adjustRightInd w:val="0"/>
              <w:snapToGrid w:val="0"/>
              <w:ind w:firstLine="0" w:firstLineChars="0"/>
              <w:rPr>
                <w:rFonts w:ascii="Times New Roman"/>
              </w:rPr>
            </w:pPr>
          </w:p>
        </w:tc>
        <w:tc>
          <w:tcPr>
            <w:tcW w:w="2045" w:type="dxa"/>
            <w:vAlign w:val="center"/>
          </w:tcPr>
          <w:p>
            <w:pPr>
              <w:pStyle w:val="8"/>
              <w:widowControl w:val="0"/>
              <w:adjustRightInd w:val="0"/>
              <w:snapToGrid w:val="0"/>
              <w:ind w:right="-109" w:rightChars="-52" w:firstLine="0" w:firstLineChars="0"/>
              <w:rPr>
                <w:rFonts w:ascii="Times New Roman"/>
              </w:rPr>
            </w:pPr>
            <w:r>
              <w:rPr>
                <w:rFonts w:ascii="Times New Roman"/>
              </w:rPr>
              <w:t>加载</w:t>
            </w:r>
            <w:r>
              <w:rPr>
                <w:rFonts w:hint="eastAsia" w:ascii="Times New Roman"/>
              </w:rPr>
              <w:t>轴</w:t>
            </w:r>
            <w:r>
              <w:rPr>
                <w:rFonts w:ascii="Times New Roman"/>
              </w:rPr>
              <w:t>制动不平衡率</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49" w:type="dxa"/>
            <w:vAlign w:val="center"/>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eastAsiaTheme="minorEastAsia"/>
              </w:rPr>
            </w:pPr>
            <w:r>
              <w:rPr>
                <w:rFonts w:ascii="Times New Roman"/>
              </w:rPr>
              <w:t>驻车制动</w:t>
            </w:r>
            <w:r>
              <w:rPr>
                <w:rFonts w:hint="eastAsia" w:ascii="Times New Roman" w:eastAsiaTheme="minorEastAsia"/>
                <w:sz w:val="28"/>
                <w:vertAlign w:val="superscript"/>
              </w:rPr>
              <w:t>c</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tcPr>
          <w:p>
            <w:pPr>
              <w:jc w:val="center"/>
            </w:pPr>
            <w:r>
              <w:rPr>
                <w:rFonts w:hint="eastAsia" w:hAnsi="宋体"/>
              </w:rPr>
              <w:t>○</w:t>
            </w:r>
          </w:p>
        </w:tc>
        <w:tc>
          <w:tcPr>
            <w:tcW w:w="1095" w:type="dxa"/>
            <w:shd w:val="clear" w:color="auto" w:fill="auto"/>
          </w:tcPr>
          <w:p>
            <w:pPr>
              <w:jc w:val="cente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tcBorders>
              <w:bottom w:val="single" w:color="auto" w:sz="4" w:space="0"/>
            </w:tcBorders>
            <w:vAlign w:val="center"/>
          </w:tcPr>
          <w:p>
            <w:pPr>
              <w:pStyle w:val="8"/>
              <w:widowControl w:val="0"/>
              <w:adjustRightInd w:val="0"/>
              <w:snapToGrid w:val="0"/>
              <w:ind w:firstLine="0" w:firstLineChars="0"/>
              <w:jc w:val="left"/>
              <w:rPr>
                <w:rFonts w:ascii="Times New Roman"/>
              </w:rPr>
            </w:pPr>
            <w:r>
              <w:rPr>
                <w:rFonts w:ascii="Times New Roman"/>
              </w:rPr>
              <w:t>前照灯远光发光强度</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859"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426" w:type="dxa"/>
            <w:vMerge w:val="continue"/>
            <w:vAlign w:val="center"/>
          </w:tcPr>
          <w:p>
            <w:pPr>
              <w:pStyle w:val="8"/>
              <w:widowControl w:val="0"/>
              <w:adjustRightInd w:val="0"/>
              <w:snapToGrid w:val="0"/>
              <w:ind w:firstLine="0" w:firstLineChars="0"/>
              <w:jc w:val="center"/>
              <w:rPr>
                <w:rFonts w:ascii="Times New Roman"/>
              </w:rPr>
            </w:pPr>
          </w:p>
        </w:tc>
        <w:tc>
          <w:tcPr>
            <w:tcW w:w="1222" w:type="dxa"/>
            <w:vMerge w:val="continue"/>
            <w:vAlign w:val="center"/>
          </w:tcPr>
          <w:p>
            <w:pPr>
              <w:pStyle w:val="8"/>
              <w:widowControl w:val="0"/>
              <w:adjustRightInd w:val="0"/>
              <w:snapToGrid w:val="0"/>
              <w:ind w:firstLine="0" w:firstLineChars="0"/>
              <w:jc w:val="center"/>
              <w:rPr>
                <w:rFonts w:ascii="Times New Roman"/>
              </w:rPr>
            </w:pPr>
          </w:p>
        </w:tc>
        <w:tc>
          <w:tcPr>
            <w:tcW w:w="2711" w:type="dxa"/>
            <w:gridSpan w:val="2"/>
            <w:vAlign w:val="center"/>
          </w:tcPr>
          <w:p>
            <w:pPr>
              <w:pStyle w:val="8"/>
              <w:widowControl w:val="0"/>
              <w:adjustRightInd w:val="0"/>
              <w:snapToGrid w:val="0"/>
              <w:ind w:firstLine="0" w:firstLineChars="0"/>
              <w:rPr>
                <w:rFonts w:ascii="Times New Roman"/>
              </w:rPr>
            </w:pPr>
            <w:r>
              <w:rPr>
                <w:rFonts w:ascii="Times New Roman"/>
              </w:rPr>
              <w:t>转向轮横向侧滑量</w:t>
            </w:r>
          </w:p>
        </w:tc>
        <w:tc>
          <w:tcPr>
            <w:tcW w:w="872" w:type="dxa"/>
            <w:shd w:val="clear" w:color="auto" w:fill="auto"/>
            <w:vAlign w:val="center"/>
          </w:tcPr>
          <w:p>
            <w:pPr>
              <w:pStyle w:val="8"/>
              <w:widowControl w:val="0"/>
              <w:adjustRightInd w:val="0"/>
              <w:snapToGrid w:val="0"/>
              <w:ind w:firstLine="0" w:firstLineChars="0"/>
              <w:jc w:val="center"/>
              <w:rPr>
                <w:rFonts w:ascii="Times New Roman"/>
              </w:rPr>
            </w:pPr>
          </w:p>
        </w:tc>
        <w:tc>
          <w:tcPr>
            <w:tcW w:w="870"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1095" w:type="dxa"/>
            <w:shd w:val="clear" w:color="auto" w:fill="auto"/>
            <w:vAlign w:val="center"/>
          </w:tcPr>
          <w:p>
            <w:pPr>
              <w:pStyle w:val="8"/>
              <w:widowControl w:val="0"/>
              <w:adjustRightInd w:val="0"/>
              <w:snapToGrid w:val="0"/>
              <w:ind w:firstLine="0" w:firstLineChars="0"/>
              <w:jc w:val="center"/>
              <w:rPr>
                <w:rFonts w:ascii="Times New Roman"/>
              </w:rPr>
            </w:pPr>
            <w:r>
              <w:rPr>
                <w:rFonts w:hint="eastAsia" w:hAnsi="宋体"/>
              </w:rPr>
              <w:t>○</w:t>
            </w:r>
          </w:p>
        </w:tc>
        <w:tc>
          <w:tcPr>
            <w:tcW w:w="666" w:type="dxa"/>
            <w:shd w:val="clear" w:color="auto" w:fill="auto"/>
            <w:vAlign w:val="center"/>
          </w:tcPr>
          <w:p>
            <w:pPr>
              <w:pStyle w:val="8"/>
              <w:widowControl w:val="0"/>
              <w:adjustRightInd w:val="0"/>
              <w:snapToGrid w:val="0"/>
              <w:ind w:firstLine="0" w:firstLineChars="0"/>
              <w:jc w:val="center"/>
              <w:rPr>
                <w:rFonts w:ascii="Times New Roman"/>
              </w:rPr>
            </w:pPr>
          </w:p>
        </w:tc>
        <w:tc>
          <w:tcPr>
            <w:tcW w:w="849" w:type="dxa"/>
          </w:tcPr>
          <w:p>
            <w:pPr>
              <w:pStyle w:val="8"/>
              <w:widowControl w:val="0"/>
              <w:adjustRightInd w:val="0"/>
              <w:snapToGrid w:val="0"/>
              <w:ind w:firstLine="0" w:firstLineChars="0"/>
              <w:jc w:val="center"/>
              <w:rPr>
                <w:rFonts w:ascii="Times New Roman"/>
              </w:rPr>
            </w:pPr>
          </w:p>
        </w:tc>
        <w:tc>
          <w:tcPr>
            <w:tcW w:w="859" w:type="dxa"/>
            <w:shd w:val="clear" w:color="auto" w:fill="auto"/>
            <w:vAlign w:val="center"/>
          </w:tcPr>
          <w:p>
            <w:pPr>
              <w:pStyle w:val="8"/>
              <w:widowControl w:val="0"/>
              <w:adjustRightInd w:val="0"/>
              <w:snapToGrid w:val="0"/>
              <w:ind w:firstLine="0" w:firstLineChars="0"/>
              <w:jc w:val="center"/>
              <w:rPr>
                <w:rFonts w:ascii="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65" w:hRule="atLeast"/>
          <w:jc w:val="center"/>
        </w:trPr>
        <w:tc>
          <w:tcPr>
            <w:tcW w:w="9570" w:type="dxa"/>
            <w:gridSpan w:val="10"/>
            <w:vAlign w:val="center"/>
          </w:tcPr>
          <w:p>
            <w:pPr>
              <w:pStyle w:val="10"/>
              <w:spacing w:line="240" w:lineRule="exact"/>
            </w:pPr>
            <w:r>
              <w:rPr>
                <w:rFonts w:hint="eastAsia" w:eastAsiaTheme="minorEastAsia"/>
              </w:rPr>
              <w:t>表中序号1-7的检验项目列入人工检验项目。</w:t>
            </w:r>
          </w:p>
          <w:p>
            <w:pPr>
              <w:pStyle w:val="10"/>
              <w:spacing w:line="240" w:lineRule="exact"/>
            </w:pPr>
            <w:r>
              <w:t>“</w:t>
            </w:r>
            <w:r>
              <w:rPr>
                <w:rFonts w:hint="eastAsia" w:hAnsi="宋体"/>
              </w:rPr>
              <w:t>●</w:t>
            </w:r>
            <w:r>
              <w:t>”表示该检验项目适用于该类车</w:t>
            </w:r>
            <w:r>
              <w:rPr>
                <w:rFonts w:hint="eastAsia" w:eastAsiaTheme="minorEastAsia"/>
              </w:rPr>
              <w:t>在用机动车安全检验</w:t>
            </w:r>
            <w:r>
              <w:t>的全部车型，“</w:t>
            </w:r>
            <w:r>
              <w:rPr>
                <w:rFonts w:hint="eastAsia" w:hAnsi="宋体"/>
              </w:rPr>
              <w:t>○</w:t>
            </w:r>
            <w:r>
              <w:t>”表示该检验项目适用于该类车</w:t>
            </w:r>
            <w:r>
              <w:rPr>
                <w:rFonts w:hint="eastAsia" w:eastAsiaTheme="minorEastAsia"/>
              </w:rPr>
              <w:t>在用机动车安全检验</w:t>
            </w:r>
            <w:r>
              <w:t>的部分车型</w:t>
            </w:r>
            <w:r>
              <w:rPr>
                <w:rFonts w:hint="eastAsia"/>
              </w:rPr>
              <w:t>。</w:t>
            </w:r>
          </w:p>
          <w:p>
            <w:pPr>
              <w:pStyle w:val="10"/>
              <w:spacing w:line="240" w:lineRule="exact"/>
              <w:rPr>
                <w:rFonts w:ascii="Times New Roman"/>
              </w:rPr>
            </w:pPr>
            <w:r>
              <w:t>对于</w:t>
            </w:r>
            <w:r>
              <w:rPr>
                <w:rFonts w:hint="eastAsia"/>
              </w:rPr>
              <w:t>适用</w:t>
            </w:r>
            <w:r>
              <w:t>车辆类型为“非营运小型、微型载客汽车”的，“</w:t>
            </w:r>
            <w:r>
              <w:rPr>
                <w:rFonts w:hint="eastAsia" w:hAnsi="宋体"/>
              </w:rPr>
              <w:t>○</w:t>
            </w:r>
            <w:r>
              <w:t>”</w:t>
            </w:r>
            <w:r>
              <w:rPr>
                <w:rFonts w:hint="eastAsia"/>
              </w:rPr>
              <w:t>对应的</w:t>
            </w:r>
            <w:r>
              <w:t>检验项目适用于</w:t>
            </w:r>
            <w:r>
              <w:rPr>
                <w:color w:val="000000"/>
              </w:rPr>
              <w:t>面包</w:t>
            </w:r>
            <w:r>
              <w:rPr>
                <w:rFonts w:ascii="Times New Roman"/>
                <w:color w:val="000000"/>
              </w:rPr>
              <w:t>车、7座及7座以上车辆，以及</w:t>
            </w:r>
            <w:r>
              <w:rPr>
                <w:rFonts w:ascii="Times New Roman"/>
              </w:rPr>
              <w:t>使用年限</w:t>
            </w:r>
            <w:r>
              <w:rPr>
                <w:rFonts w:ascii="Times New Roman"/>
                <w:color w:val="000000"/>
              </w:rPr>
              <w:t>超过10年的</w:t>
            </w:r>
            <w:r>
              <w:rPr>
                <w:rFonts w:ascii="Times New Roman"/>
              </w:rPr>
              <w:t>车辆。</w:t>
            </w:r>
          </w:p>
          <w:p>
            <w:pPr>
              <w:pStyle w:val="10"/>
              <w:spacing w:line="240" w:lineRule="exact"/>
            </w:pPr>
            <w:r>
              <w:t>对于</w:t>
            </w:r>
            <w:r>
              <w:rPr>
                <w:rFonts w:hint="eastAsia"/>
              </w:rPr>
              <w:t>适用</w:t>
            </w:r>
            <w:r>
              <w:t>车辆类型为“摩托车”的，“</w:t>
            </w:r>
            <w:r>
              <w:rPr>
                <w:rFonts w:hint="eastAsia" w:hAnsi="宋体"/>
              </w:rPr>
              <w:t>○</w:t>
            </w:r>
            <w:r>
              <w:t>”</w:t>
            </w:r>
            <w:r>
              <w:rPr>
                <w:rFonts w:hint="eastAsia"/>
              </w:rPr>
              <w:t>对应的</w:t>
            </w:r>
            <w:r>
              <w:t>该检验项目适用于带驾驶室的正三轮摩托车</w:t>
            </w:r>
            <w:r>
              <w:rPr>
                <w:rFonts w:hint="eastAsia"/>
              </w:rPr>
              <w:t>。</w:t>
            </w:r>
          </w:p>
          <w:p>
            <w:pPr>
              <w:pStyle w:val="10"/>
              <w:spacing w:line="240" w:lineRule="exact"/>
            </w:pPr>
            <w:r>
              <w:rPr>
                <w:rFonts w:hint="eastAsia"/>
              </w:rPr>
              <w:t>适用</w:t>
            </w:r>
            <w:r>
              <w:t>车辆类型</w:t>
            </w:r>
            <w:r>
              <w:rPr>
                <w:rFonts w:hint="eastAsia"/>
              </w:rPr>
              <w:t>为其他情形的，</w:t>
            </w:r>
            <w:r>
              <w:t>“</w:t>
            </w:r>
            <w:r>
              <w:rPr>
                <w:rFonts w:hint="eastAsia" w:hAnsi="宋体"/>
              </w:rPr>
              <w:t>○</w:t>
            </w:r>
            <w:r>
              <w:t>”</w:t>
            </w:r>
            <w:r>
              <w:rPr>
                <w:rFonts w:hint="eastAsia"/>
              </w:rPr>
              <w:t>对应的</w:t>
            </w:r>
            <w:r>
              <w:t>检验项目</w:t>
            </w:r>
            <w:r>
              <w:rPr>
                <w:rFonts w:hint="eastAsia"/>
              </w:rPr>
              <w:t>所</w:t>
            </w:r>
            <w:r>
              <w:t>适用的具体车型见第</w:t>
            </w:r>
            <w:r>
              <w:rPr>
                <w:rFonts w:ascii="Times New Roman"/>
              </w:rPr>
              <w:t>6章</w:t>
            </w:r>
            <w:r>
              <w:t>。</w:t>
            </w:r>
          </w:p>
          <w:p>
            <w:pPr>
              <w:pStyle w:val="10"/>
              <w:spacing w:line="240" w:lineRule="exact"/>
            </w:pPr>
            <w:r>
              <w:rPr>
                <w:rFonts w:hint="eastAsia"/>
              </w:rPr>
              <w:t>对于因更换发动机、车身或者车架申请变更登记的机动车检验时，参照在用机动车检验项目。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13" w:hRule="atLeast"/>
          <w:jc w:val="center"/>
        </w:trPr>
        <w:tc>
          <w:tcPr>
            <w:tcW w:w="9570" w:type="dxa"/>
            <w:gridSpan w:val="10"/>
            <w:vAlign w:val="center"/>
          </w:tcPr>
          <w:p>
            <w:pPr>
              <w:pStyle w:val="10"/>
              <w:numPr>
                <w:ilvl w:val="0"/>
                <w:numId w:val="0"/>
              </w:numPr>
              <w:spacing w:line="260" w:lineRule="exact"/>
              <w:ind w:left="503" w:leftChars="173" w:hanging="140" w:hangingChars="50"/>
              <w:rPr>
                <w:rFonts w:eastAsiaTheme="minorEastAsia"/>
              </w:rPr>
            </w:pPr>
            <w:r>
              <w:rPr>
                <w:rFonts w:hint="eastAsia"/>
                <w:sz w:val="28"/>
                <w:szCs w:val="28"/>
                <w:vertAlign w:val="superscript"/>
              </w:rPr>
              <w:t>a</w:t>
            </w:r>
            <w:r>
              <w:rPr>
                <w:sz w:val="28"/>
                <w:szCs w:val="28"/>
                <w:vertAlign w:val="superscript"/>
              </w:rPr>
              <w:t xml:space="preserve"> </w:t>
            </w:r>
            <w:r>
              <w:rPr>
                <w:rFonts w:hint="eastAsia" w:eastAsiaTheme="minorEastAsia"/>
              </w:rPr>
              <w:t>非营业的机动车是指个人或者单位不以获取利润为目的的而使用的机动车。</w:t>
            </w:r>
          </w:p>
          <w:p>
            <w:pPr>
              <w:pStyle w:val="10"/>
              <w:numPr>
                <w:ilvl w:val="0"/>
                <w:numId w:val="0"/>
              </w:numPr>
              <w:spacing w:line="260" w:lineRule="exact"/>
              <w:ind w:left="503" w:leftChars="173" w:hanging="140" w:hangingChars="50"/>
              <w:rPr>
                <w:rFonts w:eastAsiaTheme="minorEastAsia"/>
              </w:rPr>
            </w:pPr>
            <w:r>
              <w:rPr>
                <w:rFonts w:hint="eastAsia" w:eastAsiaTheme="minorEastAsia"/>
                <w:sz w:val="28"/>
                <w:szCs w:val="28"/>
                <w:vertAlign w:val="superscript"/>
              </w:rPr>
              <w:t>b</w:t>
            </w:r>
            <w:r>
              <w:t>三轴及三轴以上的货车、</w:t>
            </w:r>
            <w:r>
              <w:rPr>
                <w:rFonts w:hint="eastAsia" w:eastAsiaTheme="minorEastAsia"/>
              </w:rPr>
              <w:t>总质量大于3500kg的</w:t>
            </w:r>
            <w:r>
              <w:t>并装双轴</w:t>
            </w:r>
            <w:r>
              <w:rPr>
                <w:rFonts w:hint="eastAsia" w:eastAsiaTheme="minorEastAsia"/>
              </w:rPr>
              <w:t>或</w:t>
            </w:r>
            <w:r>
              <w:t>并装三轴的挂车</w:t>
            </w:r>
            <w:r>
              <w:rPr>
                <w:rFonts w:hint="eastAsia"/>
              </w:rPr>
              <w:t>，对部分轴</w:t>
            </w:r>
            <w:r>
              <w:rPr>
                <w:rFonts w:hint="eastAsia" w:eastAsiaTheme="minorEastAsia"/>
              </w:rPr>
              <w:t>（最后一轴及货车第一轴除外）</w:t>
            </w:r>
            <w:r>
              <w:rPr>
                <w:rFonts w:hint="eastAsia"/>
              </w:rPr>
              <w:t>还</w:t>
            </w:r>
            <w:r>
              <w:rPr>
                <w:rFonts w:hint="eastAsia" w:eastAsiaTheme="minorEastAsia"/>
              </w:rPr>
              <w:t>应</w:t>
            </w:r>
            <w:r>
              <w:t>测试加载</w:t>
            </w:r>
            <w:r>
              <w:rPr>
                <w:rFonts w:hint="eastAsia"/>
              </w:rPr>
              <w:t>轴</w:t>
            </w:r>
            <w:r>
              <w:t>制动率和加载</w:t>
            </w:r>
            <w:r>
              <w:rPr>
                <w:rFonts w:hint="eastAsia"/>
              </w:rPr>
              <w:t>轴</w:t>
            </w:r>
            <w:r>
              <w:t>制动不平衡率。</w:t>
            </w:r>
            <w:r>
              <w:rPr>
                <w:rFonts w:hint="eastAsia" w:eastAsiaTheme="minorEastAsia"/>
              </w:rPr>
              <w:t>采用空气悬架的车辆，总质量为整备质量1.2倍以下的车辆不测试</w:t>
            </w:r>
            <w:r>
              <w:t>加载</w:t>
            </w:r>
            <w:r>
              <w:rPr>
                <w:rFonts w:hint="eastAsia"/>
              </w:rPr>
              <w:t>轴</w:t>
            </w:r>
            <w:r>
              <w:t>制动率和加载</w:t>
            </w:r>
            <w:r>
              <w:rPr>
                <w:rFonts w:hint="eastAsia"/>
              </w:rPr>
              <w:t>轴</w:t>
            </w:r>
            <w:r>
              <w:t>制动不平衡率。</w:t>
            </w:r>
          </w:p>
          <w:p>
            <w:pPr>
              <w:pStyle w:val="10"/>
              <w:numPr>
                <w:ilvl w:val="0"/>
                <w:numId w:val="0"/>
              </w:numPr>
              <w:spacing w:line="260" w:lineRule="exact"/>
              <w:ind w:left="503" w:leftChars="173" w:hanging="140" w:hangingChars="50"/>
              <w:rPr>
                <w:rFonts w:eastAsiaTheme="minorEastAsia"/>
              </w:rPr>
            </w:pPr>
            <w:r>
              <w:rPr>
                <w:rFonts w:hint="eastAsia" w:eastAsiaTheme="minorEastAsia"/>
                <w:sz w:val="28"/>
                <w:szCs w:val="28"/>
                <w:vertAlign w:val="superscript"/>
              </w:rPr>
              <w:t>c</w:t>
            </w:r>
            <w:r>
              <w:rPr>
                <w:rFonts w:hint="eastAsia" w:eastAsiaTheme="minorEastAsia"/>
              </w:rPr>
              <w:t>驻车制动使用电子控制装置的汽车，不检验驻车制动。</w:t>
            </w:r>
          </w:p>
        </w:tc>
      </w:tr>
    </w:tbl>
    <w:p>
      <w:pPr>
        <w:spacing w:beforeLines="0" w:afterLines="0"/>
        <w:jc w:val="left"/>
        <w:rPr>
          <w:rFonts w:hint="eastAsia" w:ascii="MicrosoftYaHei" w:hAnsi="MicrosoftYaHei" w:eastAsia="MicrosoftYaHei"/>
          <w:color w:val="FFFFFF"/>
          <w:sz w:val="36"/>
        </w:rPr>
      </w:pPr>
      <w:r>
        <w:rPr>
          <w:rFonts w:hint="eastAsia" w:ascii="MicrosoftYaHei" w:hAnsi="MicrosoftYaHei" w:eastAsia="MicrosoftYaHei"/>
          <w:color w:val="FFFFFF"/>
          <w:sz w:val="36"/>
        </w:rPr>
        <w:t>要求适用车型</w:t>
      </w:r>
    </w:p>
    <w:p>
      <w:pPr>
        <w:numPr>
          <w:numId w:val="0"/>
        </w:numPr>
        <w:spacing w:beforeLines="0" w:afterLines="0"/>
        <w:jc w:val="left"/>
        <w:rPr>
          <w:rFonts w:hint="eastAsia" w:ascii="MicrosoftYaHei-Bold" w:hAnsi="MicrosoftYaHei-Bold" w:eastAsia="MicrosoftYaHei-Bold"/>
          <w:b/>
          <w:color w:val="000000"/>
          <w:sz w:val="36"/>
        </w:rPr>
      </w:pPr>
    </w:p>
    <w:sectPr>
      <w:pgSz w:w="11906" w:h="16838"/>
      <w:pgMar w:top="567" w:right="1021" w:bottom="51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YaHei-Bold">
    <w:altName w:val="宋体"/>
    <w:panose1 w:val="00000000000000000000"/>
    <w:charset w:val="86"/>
    <w:family w:val="auto"/>
    <w:pitch w:val="default"/>
    <w:sig w:usb0="00000000" w:usb1="00000000" w:usb2="00000000" w:usb3="00000000" w:csb0="00040000" w:csb1="00000000"/>
  </w:font>
  <w:font w:name="Wingdings-Regular">
    <w:altName w:val="宋体"/>
    <w:panose1 w:val="00000000000000000000"/>
    <w:charset w:val="86"/>
    <w:family w:val="auto"/>
    <w:pitch w:val="default"/>
    <w:sig w:usb0="00000000" w:usb1="00000000" w:usb2="00000000" w:usb3="00000000" w:csb0="00040000" w:csb1="00000000"/>
  </w:font>
  <w:font w:name="MicrosoftYaHe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YaHei">
    <w:altName w:val="宋体"/>
    <w:panose1 w:val="00000000000000000000"/>
    <w:charset w:val="86"/>
    <w:family w:val="auto"/>
    <w:pitch w:val="default"/>
    <w:sig w:usb0="00000000" w:usb1="00000000" w:usb2="00000000" w:usb3="00000000" w:csb0="00040000" w:csb1="00000000"/>
  </w:font>
  <w:font w:name="MicrosoftYaHei">
    <w:altName w:val="Segoe Print"/>
    <w:panose1 w:val="00000000000000000000"/>
    <w:charset w:val="00"/>
    <w:family w:val="auto"/>
    <w:pitch w:val="default"/>
    <w:sig w:usb0="00000000" w:usb1="00000000" w:usb2="00000000" w:usb3="00000000" w:csb0="00000000" w:csb1="00000000"/>
  </w:font>
  <w:font w:name="ArialMT">
    <w:altName w:val="宋体"/>
    <w:panose1 w:val="00000000000000000000"/>
    <w:charset w:val="86"/>
    <w:family w:val="auto"/>
    <w:pitch w:val="default"/>
    <w:sig w:usb0="00000000" w:usb1="00000000" w:usb2="00000000" w:usb3="00000000" w:csb0="00040000" w:csb1="00000000"/>
  </w:font>
  <w:font w:name="Arial-BoldMT">
    <w:altName w:val="宋体"/>
    <w:panose1 w:val="00000000000000000000"/>
    <w:charset w:val="86"/>
    <w:family w:val="auto"/>
    <w:pitch w:val="default"/>
    <w:sig w:usb0="00000000" w:usb1="00000000" w:usb2="00000000" w:usb3="00000000" w:csb0="00040000" w:csb1="00000000"/>
  </w:font>
  <w:font w:name="STXihei">
    <w:altName w:val="宋体"/>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F583A"/>
    <w:multiLevelType w:val="multilevel"/>
    <w:tmpl w:val="1DBF583A"/>
    <w:lvl w:ilvl="0" w:tentative="0">
      <w:start w:val="1"/>
      <w:numFmt w:val="decimal"/>
      <w:pStyle w:val="10"/>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
    <w:nsid w:val="557C2AF5"/>
    <w:multiLevelType w:val="multilevel"/>
    <w:tmpl w:val="557C2AF5"/>
    <w:lvl w:ilvl="0" w:tentative="0">
      <w:start w:val="1"/>
      <w:numFmt w:val="decimal"/>
      <w:pStyle w:val="13"/>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5D467630"/>
    <w:multiLevelType w:val="singleLevel"/>
    <w:tmpl w:val="5D467630"/>
    <w:lvl w:ilvl="0" w:tentative="0">
      <w:start w:val="2"/>
      <w:numFmt w:val="decimal"/>
      <w:lvlText w:val="%1."/>
      <w:lvlJc w:val="left"/>
      <w:pPr>
        <w:tabs>
          <w:tab w:val="left" w:pos="312"/>
        </w:tabs>
      </w:pPr>
    </w:lvl>
  </w:abstractNum>
  <w:abstractNum w:abstractNumId="3">
    <w:nsid w:val="646260FA"/>
    <w:multiLevelType w:val="multilevel"/>
    <w:tmpl w:val="646260FA"/>
    <w:lvl w:ilvl="0" w:tentative="0">
      <w:start w:val="1"/>
      <w:numFmt w:val="decimal"/>
      <w:pStyle w:val="12"/>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33CB6"/>
    <w:rsid w:val="000911BD"/>
    <w:rsid w:val="0011283B"/>
    <w:rsid w:val="00156788"/>
    <w:rsid w:val="001E51EF"/>
    <w:rsid w:val="0029259C"/>
    <w:rsid w:val="003E2F14"/>
    <w:rsid w:val="0047213D"/>
    <w:rsid w:val="004A41B6"/>
    <w:rsid w:val="004E6C2F"/>
    <w:rsid w:val="005F75B9"/>
    <w:rsid w:val="00696CA8"/>
    <w:rsid w:val="00756F65"/>
    <w:rsid w:val="0082590B"/>
    <w:rsid w:val="008B42A9"/>
    <w:rsid w:val="00934F76"/>
    <w:rsid w:val="00A94DAB"/>
    <w:rsid w:val="00B3005C"/>
    <w:rsid w:val="00B41060"/>
    <w:rsid w:val="00C81B9C"/>
    <w:rsid w:val="00DF6E29"/>
    <w:rsid w:val="00E03ADB"/>
    <w:rsid w:val="00E864AA"/>
    <w:rsid w:val="00EA057A"/>
    <w:rsid w:val="00F567A4"/>
    <w:rsid w:val="6AC84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semiHidden/>
    <w:unhideWhenUsed/>
    <w:qFormat/>
    <w:uiPriority w:val="99"/>
    <w:pPr>
      <w:tabs>
        <w:tab w:val="center" w:pos="4513"/>
        <w:tab w:val="right" w:pos="9026"/>
      </w:tabs>
      <w:snapToGrid w:val="0"/>
      <w:jc w:val="left"/>
    </w:pPr>
    <w:rPr>
      <w:sz w:val="18"/>
      <w:szCs w:val="18"/>
    </w:rPr>
  </w:style>
  <w:style w:type="paragraph" w:styleId="3">
    <w:name w:val="header"/>
    <w:basedOn w:val="1"/>
    <w:link w:val="6"/>
    <w:semiHidden/>
    <w:unhideWhenUsed/>
    <w:qFormat/>
    <w:uiPriority w:val="99"/>
    <w:pPr>
      <w:pBdr>
        <w:bottom w:val="single" w:color="auto" w:sz="6" w:space="1"/>
      </w:pBdr>
      <w:tabs>
        <w:tab w:val="center" w:pos="4513"/>
        <w:tab w:val="right" w:pos="9026"/>
      </w:tabs>
      <w:snapToGrid w:val="0"/>
      <w:jc w:val="center"/>
    </w:pPr>
    <w:rPr>
      <w:sz w:val="18"/>
      <w:szCs w:val="18"/>
    </w:rPr>
  </w:style>
  <w:style w:type="character" w:customStyle="1" w:styleId="6">
    <w:name w:val="页眉 Char"/>
    <w:basedOn w:val="5"/>
    <w:link w:val="3"/>
    <w:semiHidden/>
    <w:qFormat/>
    <w:uiPriority w:val="99"/>
    <w:rPr>
      <w:sz w:val="18"/>
      <w:szCs w:val="18"/>
    </w:rPr>
  </w:style>
  <w:style w:type="character" w:customStyle="1" w:styleId="7">
    <w:name w:val="页脚 Char"/>
    <w:basedOn w:val="5"/>
    <w:link w:val="2"/>
    <w:semiHidden/>
    <w:qFormat/>
    <w:uiPriority w:val="99"/>
    <w:rPr>
      <w:sz w:val="18"/>
      <w:szCs w:val="18"/>
    </w:rPr>
  </w:style>
  <w:style w:type="paragraph" w:customStyle="1" w:styleId="8">
    <w:name w:val="段"/>
    <w:link w:val="9"/>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9">
    <w:name w:val="段 Char"/>
    <w:link w:val="8"/>
    <w:qFormat/>
    <w:uiPriority w:val="0"/>
    <w:rPr>
      <w:rFonts w:ascii="宋体" w:hAnsi="Times New Roman" w:eastAsia="宋体" w:cs="Times New Roman"/>
      <w:kern w:val="0"/>
      <w:szCs w:val="20"/>
    </w:rPr>
  </w:style>
  <w:style w:type="paragraph" w:customStyle="1" w:styleId="10">
    <w:name w:val="注×：（正文）"/>
    <w:qFormat/>
    <w:uiPriority w:val="0"/>
    <w:pPr>
      <w:numPr>
        <w:ilvl w:val="0"/>
        <w:numId w:val="1"/>
      </w:numPr>
      <w:jc w:val="both"/>
    </w:pPr>
    <w:rPr>
      <w:rFonts w:ascii="宋体" w:hAnsi="Times New Roman" w:eastAsia="宋体" w:cs="Times New Roman"/>
      <w:kern w:val="0"/>
      <w:sz w:val="18"/>
      <w:szCs w:val="18"/>
      <w:lang w:val="en-US" w:eastAsia="zh-CN" w:bidi="ar-SA"/>
    </w:rPr>
  </w:style>
  <w:style w:type="paragraph" w:customStyle="1" w:styleId="11">
    <w:name w:val="正文表标题"/>
    <w:next w:val="8"/>
    <w:qFormat/>
    <w:uiPriority w:val="0"/>
    <w:pPr>
      <w:tabs>
        <w:tab w:val="left" w:pos="720"/>
      </w:tabs>
      <w:spacing w:beforeLines="50" w:afterLines="50"/>
      <w:ind w:left="720" w:hanging="720"/>
      <w:jc w:val="center"/>
    </w:pPr>
    <w:rPr>
      <w:rFonts w:ascii="黑体" w:hAnsi="Times New Roman" w:eastAsia="黑体" w:cs="Times New Roman"/>
      <w:kern w:val="0"/>
      <w:sz w:val="21"/>
      <w:szCs w:val="20"/>
      <w:lang w:val="en-US" w:eastAsia="zh-CN" w:bidi="ar-SA"/>
    </w:rPr>
  </w:style>
  <w:style w:type="paragraph" w:customStyle="1" w:styleId="12">
    <w:name w:val="正文图标题"/>
    <w:next w:val="8"/>
    <w:qFormat/>
    <w:uiPriority w:val="0"/>
    <w:pPr>
      <w:numPr>
        <w:ilvl w:val="0"/>
        <w:numId w:val="2"/>
      </w:numPr>
      <w:tabs>
        <w:tab w:val="left" w:pos="360"/>
      </w:tabs>
      <w:spacing w:beforeLines="50" w:afterLines="50"/>
      <w:jc w:val="center"/>
    </w:pPr>
    <w:rPr>
      <w:rFonts w:ascii="黑体" w:hAnsi="Times New Roman" w:eastAsia="黑体" w:cs="Times New Roman"/>
      <w:kern w:val="0"/>
      <w:sz w:val="21"/>
      <w:szCs w:val="20"/>
      <w:lang w:val="en-US" w:eastAsia="zh-CN" w:bidi="ar-SA"/>
    </w:rPr>
  </w:style>
  <w:style w:type="paragraph" w:customStyle="1" w:styleId="13">
    <w:name w:val="其他发布日期"/>
    <w:basedOn w:val="1"/>
    <w:qFormat/>
    <w:uiPriority w:val="0"/>
    <w:pPr>
      <w:framePr w:w="3997" w:h="471" w:hRule="exact" w:vSpace="181" w:wrap="around" w:vAnchor="page" w:hAnchor="page" w:x="1419" w:y="14097" w:anchorLock="1"/>
      <w:widowControl/>
      <w:numPr>
        <w:ilvl w:val="0"/>
        <w:numId w:val="3"/>
      </w:numPr>
      <w:jc w:val="left"/>
    </w:pPr>
    <w:rPr>
      <w:rFonts w:eastAsia="黑体"/>
      <w:kern w:val="0"/>
      <w:sz w:val="28"/>
      <w:szCs w:val="20"/>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838</Words>
  <Characters>4783</Characters>
  <Lines>39</Lines>
  <Paragraphs>11</Paragraphs>
  <TotalTime>2</TotalTime>
  <ScaleCrop>false</ScaleCrop>
  <LinksUpToDate>false</LinksUpToDate>
  <CharactersWithSpaces>5610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2020-07-01T03:38:00Z</dcterms:created>
  <dc:creator>Administrator</dc:creator>
  <cp:lastModifiedBy>老宁</cp:lastModifiedBy>
  <dcterms:modified xsi:type="dcterms:W3CDTF">2020-12-30T01:19:05Z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